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F32" w:rsidRDefault="00330F32" w:rsidP="00330F32">
      <w:pPr>
        <w:spacing w:after="0"/>
        <w:jc w:val="center"/>
        <w:rPr>
          <w:b/>
          <w:sz w:val="28"/>
          <w:szCs w:val="28"/>
          <w:lang w:val="en-US"/>
        </w:rPr>
      </w:pPr>
      <w:r>
        <w:rPr>
          <w:b/>
          <w:sz w:val="28"/>
          <w:szCs w:val="28"/>
          <w:lang w:val="en-US"/>
        </w:rPr>
        <w:t>Amendment application payment form</w:t>
      </w:r>
    </w:p>
    <w:p w:rsidR="00330F32" w:rsidRPr="00330F32" w:rsidRDefault="00330F32" w:rsidP="00330F32">
      <w:pPr>
        <w:spacing w:after="0"/>
        <w:jc w:val="center"/>
        <w:rPr>
          <w:b/>
          <w:sz w:val="28"/>
          <w:szCs w:val="28"/>
          <w:lang w:val="en-US"/>
        </w:rPr>
      </w:pPr>
      <w:r w:rsidRPr="00330F32">
        <w:rPr>
          <w:b/>
          <w:sz w:val="20"/>
          <w:szCs w:val="20"/>
          <w:lang w:val="en-US"/>
        </w:rPr>
        <w:t xml:space="preserve">The Alfred Hospital Office </w:t>
      </w:r>
      <w:r>
        <w:rPr>
          <w:b/>
          <w:sz w:val="20"/>
          <w:szCs w:val="20"/>
          <w:lang w:val="en-US"/>
        </w:rPr>
        <w:t xml:space="preserve">of </w:t>
      </w:r>
      <w:r w:rsidRPr="00330F32">
        <w:rPr>
          <w:b/>
          <w:sz w:val="20"/>
          <w:szCs w:val="20"/>
          <w:lang w:val="en-US"/>
        </w:rPr>
        <w:t xml:space="preserve">Ethics &amp; Research Governance </w:t>
      </w:r>
    </w:p>
    <w:p w:rsidR="00330F32" w:rsidRPr="00330F32" w:rsidRDefault="00330F32" w:rsidP="00AF2689">
      <w:pPr>
        <w:spacing w:after="0"/>
        <w:jc w:val="center"/>
        <w:rPr>
          <w:b/>
          <w:sz w:val="20"/>
          <w:szCs w:val="20"/>
          <w:lang w:val="en-US"/>
        </w:rPr>
      </w:pPr>
    </w:p>
    <w:p w:rsidR="000C3839" w:rsidRPr="00330F32" w:rsidRDefault="00CC4932" w:rsidP="00CC4932">
      <w:pPr>
        <w:pStyle w:val="ListParagraph"/>
        <w:numPr>
          <w:ilvl w:val="0"/>
          <w:numId w:val="15"/>
        </w:numPr>
        <w:spacing w:after="0"/>
        <w:rPr>
          <w:b/>
          <w:sz w:val="20"/>
          <w:szCs w:val="20"/>
          <w:lang w:val="en-US"/>
        </w:rPr>
      </w:pPr>
      <w:r w:rsidRPr="00330F32">
        <w:rPr>
          <w:b/>
          <w:sz w:val="20"/>
          <w:szCs w:val="20"/>
          <w:lang w:val="en-US"/>
        </w:rPr>
        <w:t>The fees are GST exclusive</w:t>
      </w:r>
    </w:p>
    <w:p w:rsidR="000C3839" w:rsidRPr="00330F32" w:rsidRDefault="000C3839" w:rsidP="00CC4932">
      <w:pPr>
        <w:pStyle w:val="ListParagraph"/>
        <w:numPr>
          <w:ilvl w:val="0"/>
          <w:numId w:val="15"/>
        </w:numPr>
        <w:spacing w:after="0"/>
        <w:rPr>
          <w:b/>
          <w:sz w:val="20"/>
          <w:szCs w:val="20"/>
          <w:lang w:val="en-US"/>
        </w:rPr>
      </w:pPr>
      <w:r w:rsidRPr="00330F32">
        <w:rPr>
          <w:b/>
          <w:sz w:val="20"/>
          <w:szCs w:val="20"/>
          <w:lang w:val="en-US"/>
        </w:rPr>
        <w:t>Please refer to the fee schedule in the Ethi</w:t>
      </w:r>
      <w:r w:rsidR="00CC4932" w:rsidRPr="00330F32">
        <w:rPr>
          <w:b/>
          <w:sz w:val="20"/>
          <w:szCs w:val="20"/>
          <w:lang w:val="en-US"/>
        </w:rPr>
        <w:t>cs</w:t>
      </w:r>
      <w:r w:rsidR="00425C7C">
        <w:rPr>
          <w:b/>
          <w:sz w:val="20"/>
          <w:szCs w:val="20"/>
          <w:lang w:val="en-US"/>
        </w:rPr>
        <w:t xml:space="preserve"> </w:t>
      </w:r>
      <w:r w:rsidR="00703C9A">
        <w:rPr>
          <w:b/>
          <w:sz w:val="20"/>
          <w:szCs w:val="20"/>
          <w:lang w:val="en-US"/>
        </w:rPr>
        <w:t>&amp; Research Governance</w:t>
      </w:r>
      <w:r w:rsidR="00CC4932" w:rsidRPr="00330F32">
        <w:rPr>
          <w:b/>
          <w:sz w:val="20"/>
          <w:szCs w:val="20"/>
          <w:lang w:val="en-US"/>
        </w:rPr>
        <w:t xml:space="preserve"> website for more information</w:t>
      </w:r>
    </w:p>
    <w:p w:rsidR="00CC4932" w:rsidRPr="00330F32" w:rsidRDefault="00CC4932" w:rsidP="00CC4932">
      <w:pPr>
        <w:pStyle w:val="ListParagraph"/>
        <w:numPr>
          <w:ilvl w:val="0"/>
          <w:numId w:val="15"/>
        </w:numPr>
        <w:spacing w:after="0"/>
        <w:rPr>
          <w:b/>
          <w:sz w:val="20"/>
          <w:szCs w:val="20"/>
          <w:lang w:val="en-US"/>
        </w:rPr>
      </w:pPr>
      <w:r w:rsidRPr="00330F32">
        <w:rPr>
          <w:b/>
          <w:sz w:val="20"/>
          <w:szCs w:val="20"/>
          <w:lang w:val="en-US"/>
        </w:rPr>
        <w:t>Indicate which fee or fees are applicable and insert the total</w:t>
      </w:r>
    </w:p>
    <w:p w:rsidR="00CC4932" w:rsidRPr="00330F32" w:rsidRDefault="00CC4932" w:rsidP="00CC4932">
      <w:pPr>
        <w:pStyle w:val="ListParagraph"/>
        <w:numPr>
          <w:ilvl w:val="0"/>
          <w:numId w:val="15"/>
        </w:numPr>
        <w:spacing w:after="0"/>
        <w:rPr>
          <w:b/>
          <w:sz w:val="20"/>
          <w:szCs w:val="20"/>
          <w:lang w:val="en-US"/>
        </w:rPr>
      </w:pPr>
      <w:r w:rsidRPr="00330F32">
        <w:rPr>
          <w:b/>
          <w:sz w:val="20"/>
          <w:szCs w:val="20"/>
          <w:lang w:val="en-US"/>
        </w:rPr>
        <w:t xml:space="preserve">Submit the completed form </w:t>
      </w:r>
      <w:r w:rsidR="00616A67" w:rsidRPr="00330F32">
        <w:rPr>
          <w:b/>
          <w:sz w:val="20"/>
          <w:szCs w:val="20"/>
          <w:lang w:val="en-US"/>
        </w:rPr>
        <w:t>with the amendment application submission</w:t>
      </w:r>
    </w:p>
    <w:p w:rsidR="00CC4932" w:rsidRPr="00330F32" w:rsidRDefault="00CC4932" w:rsidP="00CC4932">
      <w:pPr>
        <w:pStyle w:val="ListParagraph"/>
        <w:numPr>
          <w:ilvl w:val="0"/>
          <w:numId w:val="15"/>
        </w:numPr>
        <w:spacing w:after="0"/>
        <w:rPr>
          <w:b/>
          <w:sz w:val="20"/>
          <w:szCs w:val="20"/>
          <w:lang w:val="en-US"/>
        </w:rPr>
      </w:pPr>
      <w:r w:rsidRPr="00330F32">
        <w:rPr>
          <w:b/>
          <w:sz w:val="20"/>
          <w:szCs w:val="20"/>
          <w:lang w:val="en-US"/>
        </w:rPr>
        <w:t xml:space="preserve">Advice will be provided if the </w:t>
      </w:r>
      <w:r w:rsidR="00CE610A" w:rsidRPr="00330F32">
        <w:rPr>
          <w:b/>
          <w:sz w:val="20"/>
          <w:szCs w:val="20"/>
          <w:lang w:val="en-US"/>
        </w:rPr>
        <w:t>correct fee is not indicated or</w:t>
      </w:r>
      <w:r w:rsidR="00616A67" w:rsidRPr="00330F32">
        <w:rPr>
          <w:b/>
          <w:sz w:val="20"/>
          <w:szCs w:val="20"/>
          <w:lang w:val="en-US"/>
        </w:rPr>
        <w:t xml:space="preserve"> if the $200</w:t>
      </w:r>
      <w:r w:rsidRPr="00330F32">
        <w:rPr>
          <w:b/>
          <w:sz w:val="20"/>
          <w:szCs w:val="20"/>
          <w:lang w:val="en-US"/>
        </w:rPr>
        <w:t xml:space="preserve"> surcharge applies</w:t>
      </w:r>
    </w:p>
    <w:p w:rsidR="00330F32" w:rsidRPr="000C3839" w:rsidRDefault="00330F32" w:rsidP="00AF2689">
      <w:pPr>
        <w:spacing w:after="0"/>
        <w:jc w:val="center"/>
        <w:rPr>
          <w:b/>
          <w:sz w:val="18"/>
          <w:szCs w:val="18"/>
          <w:lang w:val="en-US"/>
        </w:rPr>
      </w:pPr>
    </w:p>
    <w:tbl>
      <w:tblPr>
        <w:tblStyle w:val="TableGrid"/>
        <w:tblW w:w="0" w:type="auto"/>
        <w:tblLook w:val="04A0" w:firstRow="1" w:lastRow="0" w:firstColumn="1" w:lastColumn="0" w:noHBand="0" w:noVBand="1"/>
      </w:tblPr>
      <w:tblGrid>
        <w:gridCol w:w="2758"/>
        <w:gridCol w:w="6258"/>
      </w:tblGrid>
      <w:tr w:rsidR="00CA5C64" w:rsidTr="00F44B65">
        <w:tc>
          <w:tcPr>
            <w:tcW w:w="2802" w:type="dxa"/>
          </w:tcPr>
          <w:p w:rsidR="00CA5C64" w:rsidRDefault="00CA5C64" w:rsidP="00AF2689">
            <w:pPr>
              <w:jc w:val="both"/>
              <w:rPr>
                <w:b/>
                <w:lang w:val="en-US"/>
              </w:rPr>
            </w:pPr>
            <w:r>
              <w:rPr>
                <w:b/>
                <w:lang w:val="en-US"/>
              </w:rPr>
              <w:t>Project Title</w:t>
            </w:r>
          </w:p>
        </w:tc>
        <w:tc>
          <w:tcPr>
            <w:tcW w:w="6440" w:type="dxa"/>
          </w:tcPr>
          <w:p w:rsidR="00CA5C64" w:rsidRDefault="00CA5C64" w:rsidP="00AF2689">
            <w:pPr>
              <w:jc w:val="both"/>
              <w:rPr>
                <w:b/>
                <w:lang w:val="en-US"/>
              </w:rPr>
            </w:pPr>
          </w:p>
        </w:tc>
      </w:tr>
      <w:tr w:rsidR="00CA5C64" w:rsidTr="00F44B65">
        <w:tc>
          <w:tcPr>
            <w:tcW w:w="2802" w:type="dxa"/>
          </w:tcPr>
          <w:p w:rsidR="00CA5C64" w:rsidRDefault="00CA5C64" w:rsidP="00AF2689">
            <w:pPr>
              <w:jc w:val="both"/>
              <w:rPr>
                <w:b/>
                <w:lang w:val="en-US"/>
              </w:rPr>
            </w:pPr>
            <w:r>
              <w:rPr>
                <w:b/>
                <w:lang w:val="en-US"/>
              </w:rPr>
              <w:t>Alfred Project Number</w:t>
            </w:r>
          </w:p>
        </w:tc>
        <w:tc>
          <w:tcPr>
            <w:tcW w:w="6440" w:type="dxa"/>
          </w:tcPr>
          <w:p w:rsidR="00CA5C64" w:rsidRDefault="00CA5C64" w:rsidP="00AF2689">
            <w:pPr>
              <w:jc w:val="both"/>
              <w:rPr>
                <w:b/>
                <w:lang w:val="en-US"/>
              </w:rPr>
            </w:pPr>
          </w:p>
        </w:tc>
      </w:tr>
      <w:tr w:rsidR="00CA5C64" w:rsidTr="00F44B65">
        <w:tc>
          <w:tcPr>
            <w:tcW w:w="2802" w:type="dxa"/>
          </w:tcPr>
          <w:p w:rsidR="00CA5C64" w:rsidRDefault="00CA5C64" w:rsidP="00AF2689">
            <w:pPr>
              <w:jc w:val="both"/>
              <w:rPr>
                <w:b/>
                <w:lang w:val="en-US"/>
              </w:rPr>
            </w:pPr>
            <w:r>
              <w:rPr>
                <w:b/>
                <w:lang w:val="en-US"/>
              </w:rPr>
              <w:t>Principal Investigator</w:t>
            </w:r>
          </w:p>
        </w:tc>
        <w:tc>
          <w:tcPr>
            <w:tcW w:w="6440" w:type="dxa"/>
          </w:tcPr>
          <w:p w:rsidR="00CA5C64" w:rsidRDefault="00CA5C64" w:rsidP="00AF2689">
            <w:pPr>
              <w:jc w:val="both"/>
              <w:rPr>
                <w:b/>
                <w:lang w:val="en-US"/>
              </w:rPr>
            </w:pPr>
          </w:p>
        </w:tc>
      </w:tr>
      <w:tr w:rsidR="00CA5C64" w:rsidTr="00F44B65">
        <w:tc>
          <w:tcPr>
            <w:tcW w:w="2802" w:type="dxa"/>
          </w:tcPr>
          <w:p w:rsidR="00CA5C64" w:rsidRDefault="00CA5C64" w:rsidP="00AF2689">
            <w:pPr>
              <w:jc w:val="both"/>
              <w:rPr>
                <w:b/>
                <w:lang w:val="en-US"/>
              </w:rPr>
            </w:pPr>
            <w:r>
              <w:rPr>
                <w:b/>
                <w:lang w:val="en-US"/>
              </w:rPr>
              <w:t>Contact name (if not the PI)</w:t>
            </w:r>
          </w:p>
        </w:tc>
        <w:tc>
          <w:tcPr>
            <w:tcW w:w="6440" w:type="dxa"/>
          </w:tcPr>
          <w:p w:rsidR="00CA5C64" w:rsidRDefault="00CA5C64" w:rsidP="00AF2689">
            <w:pPr>
              <w:jc w:val="both"/>
              <w:rPr>
                <w:b/>
                <w:lang w:val="en-US"/>
              </w:rPr>
            </w:pPr>
          </w:p>
        </w:tc>
      </w:tr>
      <w:tr w:rsidR="00F44B65" w:rsidTr="00F44B65">
        <w:tc>
          <w:tcPr>
            <w:tcW w:w="2802" w:type="dxa"/>
          </w:tcPr>
          <w:p w:rsidR="00F44B65" w:rsidRDefault="00F44B65" w:rsidP="00AF2689">
            <w:pPr>
              <w:jc w:val="both"/>
              <w:rPr>
                <w:b/>
                <w:lang w:val="en-US"/>
              </w:rPr>
            </w:pPr>
            <w:r>
              <w:rPr>
                <w:b/>
                <w:lang w:val="en-US"/>
              </w:rPr>
              <w:t>Email &amp; phone</w:t>
            </w:r>
          </w:p>
        </w:tc>
        <w:tc>
          <w:tcPr>
            <w:tcW w:w="6440" w:type="dxa"/>
          </w:tcPr>
          <w:p w:rsidR="00F44B65" w:rsidRDefault="00F44B65" w:rsidP="00AF2689">
            <w:pPr>
              <w:jc w:val="both"/>
              <w:rPr>
                <w:b/>
                <w:lang w:val="en-US"/>
              </w:rPr>
            </w:pPr>
          </w:p>
        </w:tc>
      </w:tr>
      <w:tr w:rsidR="00CA5C64" w:rsidTr="00F44B65">
        <w:tc>
          <w:tcPr>
            <w:tcW w:w="2802" w:type="dxa"/>
          </w:tcPr>
          <w:p w:rsidR="00CA5C64" w:rsidRDefault="00CA5C64" w:rsidP="00AF2689">
            <w:pPr>
              <w:jc w:val="both"/>
              <w:rPr>
                <w:b/>
                <w:lang w:val="en-US"/>
              </w:rPr>
            </w:pPr>
            <w:r>
              <w:rPr>
                <w:b/>
                <w:lang w:val="en-US"/>
              </w:rPr>
              <w:t>Date</w:t>
            </w:r>
          </w:p>
        </w:tc>
        <w:tc>
          <w:tcPr>
            <w:tcW w:w="6440" w:type="dxa"/>
          </w:tcPr>
          <w:p w:rsidR="00CA5C64" w:rsidRDefault="00CA5C64" w:rsidP="00AF2689">
            <w:pPr>
              <w:jc w:val="both"/>
              <w:rPr>
                <w:b/>
                <w:lang w:val="en-US"/>
              </w:rPr>
            </w:pPr>
          </w:p>
        </w:tc>
      </w:tr>
    </w:tbl>
    <w:p w:rsidR="00330F32" w:rsidRPr="0048631D" w:rsidRDefault="00330F32" w:rsidP="0048631D">
      <w:pPr>
        <w:spacing w:after="0"/>
        <w:rPr>
          <w:rFonts w:ascii="Arial" w:hAnsi="Arial" w:cs="Arial"/>
          <w:sz w:val="18"/>
          <w:szCs w:val="18"/>
        </w:rPr>
      </w:pPr>
    </w:p>
    <w:p w:rsidR="00813837" w:rsidRDefault="00216118" w:rsidP="00AF2689">
      <w:pPr>
        <w:spacing w:after="0"/>
        <w:jc w:val="both"/>
        <w:rPr>
          <w:rFonts w:ascii="Arial" w:hAnsi="Arial" w:cs="Arial"/>
          <w:b/>
          <w:sz w:val="20"/>
          <w:szCs w:val="20"/>
          <w:lang w:val="en-US"/>
        </w:rPr>
      </w:pPr>
      <w:r w:rsidRPr="0048631D">
        <w:rPr>
          <w:rFonts w:ascii="Arial" w:hAnsi="Arial" w:cs="Arial"/>
          <w:b/>
          <w:sz w:val="20"/>
          <w:szCs w:val="20"/>
          <w:lang w:val="en-US"/>
        </w:rPr>
        <w:t>F</w:t>
      </w:r>
      <w:r w:rsidR="001227DC" w:rsidRPr="0048631D">
        <w:rPr>
          <w:rFonts w:ascii="Arial" w:hAnsi="Arial" w:cs="Arial"/>
          <w:b/>
          <w:sz w:val="20"/>
          <w:szCs w:val="20"/>
          <w:lang w:val="en-US"/>
        </w:rPr>
        <w:t xml:space="preserve">or </w:t>
      </w:r>
      <w:r w:rsidR="009613CB">
        <w:rPr>
          <w:rFonts w:ascii="Arial" w:hAnsi="Arial" w:cs="Arial"/>
          <w:b/>
          <w:sz w:val="20"/>
          <w:szCs w:val="20"/>
          <w:lang w:val="en-US"/>
        </w:rPr>
        <w:t>ALL applications (GST exclusive)</w:t>
      </w:r>
      <w:r w:rsidR="00CC014D" w:rsidRPr="0048631D">
        <w:rPr>
          <w:rFonts w:ascii="Arial" w:hAnsi="Arial" w:cs="Arial"/>
          <w:b/>
          <w:sz w:val="20"/>
          <w:szCs w:val="20"/>
          <w:lang w:val="en-US"/>
        </w:rPr>
        <w:t>:</w:t>
      </w:r>
    </w:p>
    <w:p w:rsidR="00330F32" w:rsidRPr="0048631D" w:rsidRDefault="00330F32" w:rsidP="00AF2689">
      <w:pPr>
        <w:spacing w:after="0"/>
        <w:jc w:val="both"/>
        <w:rPr>
          <w:rFonts w:ascii="Arial" w:hAnsi="Arial" w:cs="Arial"/>
          <w:b/>
          <w:sz w:val="20"/>
          <w:szCs w:val="20"/>
          <w:lang w:val="en-US"/>
        </w:rPr>
      </w:pPr>
    </w:p>
    <w:tbl>
      <w:tblPr>
        <w:tblStyle w:val="TableGrid"/>
        <w:tblW w:w="0" w:type="auto"/>
        <w:tblLook w:val="04A0" w:firstRow="1" w:lastRow="0" w:firstColumn="1" w:lastColumn="0" w:noHBand="0" w:noVBand="1"/>
      </w:tblPr>
      <w:tblGrid>
        <w:gridCol w:w="5999"/>
        <w:gridCol w:w="1543"/>
        <w:gridCol w:w="1474"/>
      </w:tblGrid>
      <w:tr w:rsidR="007C7B7C" w:rsidRPr="001843C8" w:rsidTr="00C143F6">
        <w:tc>
          <w:tcPr>
            <w:tcW w:w="5999" w:type="dxa"/>
          </w:tcPr>
          <w:p w:rsidR="007C7B7C" w:rsidRPr="00330F32" w:rsidRDefault="007C7B7C" w:rsidP="00AF2689">
            <w:pPr>
              <w:jc w:val="both"/>
              <w:rPr>
                <w:b/>
                <w:lang w:val="en-US"/>
              </w:rPr>
            </w:pPr>
            <w:r w:rsidRPr="00330F32">
              <w:rPr>
                <w:b/>
                <w:lang w:val="en-US"/>
              </w:rPr>
              <w:t>Investigator initiated/collaborative groups study</w:t>
            </w:r>
          </w:p>
        </w:tc>
        <w:tc>
          <w:tcPr>
            <w:tcW w:w="1543" w:type="dxa"/>
          </w:tcPr>
          <w:p w:rsidR="007C7B7C" w:rsidRDefault="007C7B7C" w:rsidP="00AF2689">
            <w:pPr>
              <w:jc w:val="center"/>
              <w:rPr>
                <w:lang w:val="en-US"/>
              </w:rPr>
            </w:pPr>
          </w:p>
        </w:tc>
        <w:tc>
          <w:tcPr>
            <w:tcW w:w="1474" w:type="dxa"/>
          </w:tcPr>
          <w:p w:rsidR="007C7B7C" w:rsidRPr="001843C8" w:rsidRDefault="007C7B7C" w:rsidP="00AF2689">
            <w:pPr>
              <w:jc w:val="center"/>
              <w:rPr>
                <w:lang w:val="en-US"/>
              </w:rPr>
            </w:pPr>
          </w:p>
        </w:tc>
      </w:tr>
      <w:tr w:rsidR="00704DE6" w:rsidRPr="001843C8" w:rsidTr="00C143F6">
        <w:tc>
          <w:tcPr>
            <w:tcW w:w="5999" w:type="dxa"/>
          </w:tcPr>
          <w:p w:rsidR="00704DE6" w:rsidRPr="00704DE6" w:rsidRDefault="00704DE6" w:rsidP="00AF2689">
            <w:pPr>
              <w:jc w:val="both"/>
              <w:rPr>
                <w:lang w:val="en-US"/>
              </w:rPr>
            </w:pPr>
            <w:r>
              <w:rPr>
                <w:lang w:val="en-US"/>
              </w:rPr>
              <w:t>Amendment application</w:t>
            </w:r>
          </w:p>
        </w:tc>
        <w:tc>
          <w:tcPr>
            <w:tcW w:w="1543" w:type="dxa"/>
          </w:tcPr>
          <w:p w:rsidR="00704DE6" w:rsidRDefault="00704DE6" w:rsidP="00AF2689">
            <w:pPr>
              <w:jc w:val="center"/>
              <w:rPr>
                <w:lang w:val="en-US"/>
              </w:rPr>
            </w:pPr>
            <w:r>
              <w:rPr>
                <w:lang w:val="en-US"/>
              </w:rPr>
              <w:t>Nil</w:t>
            </w:r>
          </w:p>
        </w:tc>
        <w:tc>
          <w:tcPr>
            <w:tcW w:w="1474" w:type="dxa"/>
          </w:tcPr>
          <w:p w:rsidR="00704DE6" w:rsidRPr="001843C8" w:rsidRDefault="00704DE6" w:rsidP="00AF2689">
            <w:pPr>
              <w:jc w:val="center"/>
              <w:rPr>
                <w:lang w:val="en-US"/>
              </w:rPr>
            </w:pPr>
          </w:p>
        </w:tc>
      </w:tr>
    </w:tbl>
    <w:p w:rsidR="0048631D" w:rsidRPr="0048631D" w:rsidRDefault="0048631D" w:rsidP="0048631D">
      <w:pPr>
        <w:spacing w:after="0"/>
        <w:rPr>
          <w:rFonts w:ascii="Arial" w:hAnsi="Arial" w:cs="Arial"/>
          <w:b/>
          <w:sz w:val="20"/>
          <w:szCs w:val="20"/>
        </w:rPr>
      </w:pPr>
    </w:p>
    <w:tbl>
      <w:tblPr>
        <w:tblStyle w:val="TableGrid"/>
        <w:tblW w:w="0" w:type="auto"/>
        <w:tblLook w:val="04A0" w:firstRow="1" w:lastRow="0" w:firstColumn="1" w:lastColumn="0" w:noHBand="0" w:noVBand="1"/>
      </w:tblPr>
      <w:tblGrid>
        <w:gridCol w:w="5986"/>
        <w:gridCol w:w="1552"/>
        <w:gridCol w:w="1478"/>
      </w:tblGrid>
      <w:tr w:rsidR="004827CF" w:rsidRPr="001843C8" w:rsidTr="00D76624">
        <w:tc>
          <w:tcPr>
            <w:tcW w:w="9016" w:type="dxa"/>
            <w:gridSpan w:val="3"/>
          </w:tcPr>
          <w:p w:rsidR="004827CF" w:rsidRPr="001843C8" w:rsidRDefault="004827CF" w:rsidP="004827CF">
            <w:pPr>
              <w:rPr>
                <w:lang w:val="en-US"/>
              </w:rPr>
            </w:pPr>
            <w:r w:rsidRPr="0048631D">
              <w:rPr>
                <w:b/>
                <w:lang w:val="en-US"/>
              </w:rPr>
              <w:t>Commercially sponsored studies</w:t>
            </w:r>
          </w:p>
        </w:tc>
      </w:tr>
      <w:tr w:rsidR="000C3839" w:rsidRPr="001843C8" w:rsidTr="00D76624">
        <w:tc>
          <w:tcPr>
            <w:tcW w:w="5986" w:type="dxa"/>
          </w:tcPr>
          <w:p w:rsidR="000C3839" w:rsidRPr="001843C8" w:rsidRDefault="00034D29" w:rsidP="00AF2689">
            <w:pPr>
              <w:jc w:val="both"/>
              <w:rPr>
                <w:sz w:val="20"/>
                <w:szCs w:val="20"/>
                <w:lang w:val="en-US"/>
              </w:rPr>
            </w:pPr>
            <w:r>
              <w:rPr>
                <w:lang w:val="en-US"/>
              </w:rPr>
              <w:t xml:space="preserve">Substantial </w:t>
            </w:r>
            <w:r w:rsidR="00D76624">
              <w:rPr>
                <w:lang w:val="en-US"/>
              </w:rPr>
              <w:t>amendment</w:t>
            </w:r>
            <w:r>
              <w:rPr>
                <w:vertAlign w:val="superscript"/>
                <w:lang w:val="en-US"/>
              </w:rPr>
              <w:t>1</w:t>
            </w:r>
            <w:r w:rsidR="00D76624">
              <w:rPr>
                <w:lang w:val="en-US"/>
              </w:rPr>
              <w:t xml:space="preserve"> e.g. protocol, significant changes to PICF(s)</w:t>
            </w:r>
          </w:p>
        </w:tc>
        <w:tc>
          <w:tcPr>
            <w:tcW w:w="1552" w:type="dxa"/>
          </w:tcPr>
          <w:p w:rsidR="000C3839" w:rsidRPr="001843C8" w:rsidRDefault="00917EF1" w:rsidP="00AF2689">
            <w:pPr>
              <w:jc w:val="center"/>
              <w:rPr>
                <w:sz w:val="20"/>
                <w:szCs w:val="20"/>
                <w:lang w:val="en-US"/>
              </w:rPr>
            </w:pPr>
            <w:r>
              <w:rPr>
                <w:lang w:val="en-US"/>
              </w:rPr>
              <w:t>65</w:t>
            </w:r>
            <w:r w:rsidR="000C3839" w:rsidRPr="001843C8">
              <w:rPr>
                <w:lang w:val="en-US"/>
              </w:rPr>
              <w:t>0</w:t>
            </w:r>
          </w:p>
        </w:tc>
        <w:tc>
          <w:tcPr>
            <w:tcW w:w="1478" w:type="dxa"/>
          </w:tcPr>
          <w:p w:rsidR="000C3839" w:rsidRPr="001843C8" w:rsidRDefault="000C3839" w:rsidP="00AF2689">
            <w:pPr>
              <w:jc w:val="center"/>
              <w:rPr>
                <w:lang w:val="en-US"/>
              </w:rPr>
            </w:pPr>
          </w:p>
        </w:tc>
      </w:tr>
      <w:tr w:rsidR="00D76624" w:rsidRPr="001843C8" w:rsidTr="00D76624">
        <w:tc>
          <w:tcPr>
            <w:tcW w:w="5986" w:type="dxa"/>
          </w:tcPr>
          <w:p w:rsidR="00D76624" w:rsidRDefault="00034D29" w:rsidP="00AF2689">
            <w:pPr>
              <w:jc w:val="both"/>
              <w:rPr>
                <w:lang w:val="en-US"/>
              </w:rPr>
            </w:pPr>
            <w:r>
              <w:t>Non-substantial amendment</w:t>
            </w:r>
            <w:r>
              <w:rPr>
                <w:vertAlign w:val="superscript"/>
                <w:lang w:val="en-US"/>
              </w:rPr>
              <w:t>1</w:t>
            </w:r>
            <w:r>
              <w:t xml:space="preserve"> </w:t>
            </w:r>
            <w:r w:rsidR="00D76624">
              <w:t>e.g. changes to personnel, advertising material, I</w:t>
            </w:r>
            <w:r w:rsidR="00E9064D">
              <w:t>nvestigator’s Brochures, DSUR</w:t>
            </w:r>
            <w:r w:rsidR="00572561">
              <w:t>s</w:t>
            </w:r>
          </w:p>
        </w:tc>
        <w:tc>
          <w:tcPr>
            <w:tcW w:w="1552" w:type="dxa"/>
          </w:tcPr>
          <w:p w:rsidR="00D76624" w:rsidRDefault="00D76624" w:rsidP="00AF2689">
            <w:pPr>
              <w:jc w:val="center"/>
              <w:rPr>
                <w:lang w:val="en-US"/>
              </w:rPr>
            </w:pPr>
            <w:r>
              <w:rPr>
                <w:lang w:val="en-US"/>
              </w:rPr>
              <w:t>200</w:t>
            </w:r>
          </w:p>
        </w:tc>
        <w:tc>
          <w:tcPr>
            <w:tcW w:w="1478" w:type="dxa"/>
          </w:tcPr>
          <w:p w:rsidR="00D76624" w:rsidRPr="001843C8" w:rsidRDefault="00D76624" w:rsidP="00AF2689">
            <w:pPr>
              <w:jc w:val="center"/>
              <w:rPr>
                <w:lang w:val="en-US"/>
              </w:rPr>
            </w:pPr>
          </w:p>
        </w:tc>
      </w:tr>
      <w:tr w:rsidR="00917EF1" w:rsidRPr="001843C8" w:rsidTr="00D76624">
        <w:tc>
          <w:tcPr>
            <w:tcW w:w="5986" w:type="dxa"/>
          </w:tcPr>
          <w:p w:rsidR="00917EF1" w:rsidRPr="001843C8" w:rsidRDefault="00D76624" w:rsidP="00034D29">
            <w:pPr>
              <w:jc w:val="both"/>
              <w:rPr>
                <w:lang w:val="en-US"/>
              </w:rPr>
            </w:pPr>
            <w:r>
              <w:rPr>
                <w:lang w:val="en-US"/>
              </w:rPr>
              <w:t xml:space="preserve">For </w:t>
            </w:r>
            <w:r w:rsidR="00034D29">
              <w:rPr>
                <w:lang w:val="en-US"/>
              </w:rPr>
              <w:t xml:space="preserve">substantial </w:t>
            </w:r>
            <w:r>
              <w:rPr>
                <w:lang w:val="en-US"/>
              </w:rPr>
              <w:t>amendment applications submitted within one month of ethics approval and without impact on participant safety</w:t>
            </w:r>
          </w:p>
        </w:tc>
        <w:tc>
          <w:tcPr>
            <w:tcW w:w="1552" w:type="dxa"/>
          </w:tcPr>
          <w:p w:rsidR="00917EF1" w:rsidRPr="001843C8" w:rsidRDefault="00917EF1" w:rsidP="00AF2689">
            <w:pPr>
              <w:jc w:val="center"/>
              <w:rPr>
                <w:lang w:val="en-US"/>
              </w:rPr>
            </w:pPr>
            <w:r>
              <w:rPr>
                <w:lang w:val="en-US"/>
              </w:rPr>
              <w:t>1,300</w:t>
            </w:r>
          </w:p>
        </w:tc>
        <w:tc>
          <w:tcPr>
            <w:tcW w:w="1478" w:type="dxa"/>
          </w:tcPr>
          <w:p w:rsidR="00917EF1" w:rsidRPr="001843C8" w:rsidRDefault="00917EF1" w:rsidP="00AF2689">
            <w:pPr>
              <w:jc w:val="center"/>
              <w:rPr>
                <w:lang w:val="en-US"/>
              </w:rPr>
            </w:pPr>
          </w:p>
        </w:tc>
      </w:tr>
      <w:tr w:rsidR="00D76624" w:rsidRPr="001843C8" w:rsidTr="00D76624">
        <w:tc>
          <w:tcPr>
            <w:tcW w:w="5986" w:type="dxa"/>
          </w:tcPr>
          <w:p w:rsidR="00D76624" w:rsidRDefault="00D76624" w:rsidP="00034D29">
            <w:pPr>
              <w:jc w:val="both"/>
              <w:rPr>
                <w:lang w:val="en-US"/>
              </w:rPr>
            </w:pPr>
            <w:r>
              <w:rPr>
                <w:lang w:val="en-US"/>
              </w:rPr>
              <w:t xml:space="preserve">For </w:t>
            </w:r>
            <w:r w:rsidR="00034D29">
              <w:rPr>
                <w:lang w:val="en-US"/>
              </w:rPr>
              <w:t xml:space="preserve">non-substantial </w:t>
            </w:r>
            <w:r>
              <w:rPr>
                <w:lang w:val="en-US"/>
              </w:rPr>
              <w:t>submitted within one month of ethics approval</w:t>
            </w:r>
          </w:p>
        </w:tc>
        <w:tc>
          <w:tcPr>
            <w:tcW w:w="1552" w:type="dxa"/>
          </w:tcPr>
          <w:p w:rsidR="00D76624" w:rsidRDefault="00D76624" w:rsidP="00D76624">
            <w:pPr>
              <w:jc w:val="center"/>
              <w:rPr>
                <w:lang w:val="en-US"/>
              </w:rPr>
            </w:pPr>
            <w:r>
              <w:rPr>
                <w:lang w:val="en-US"/>
              </w:rPr>
              <w:t>400</w:t>
            </w:r>
          </w:p>
        </w:tc>
        <w:tc>
          <w:tcPr>
            <w:tcW w:w="1478" w:type="dxa"/>
          </w:tcPr>
          <w:p w:rsidR="00D76624" w:rsidRPr="001843C8" w:rsidRDefault="00D76624" w:rsidP="00D76624">
            <w:pPr>
              <w:jc w:val="center"/>
              <w:rPr>
                <w:lang w:val="en-US"/>
              </w:rPr>
            </w:pPr>
          </w:p>
        </w:tc>
      </w:tr>
      <w:tr w:rsidR="004827CF" w:rsidRPr="001843C8" w:rsidTr="00D76624">
        <w:tc>
          <w:tcPr>
            <w:tcW w:w="5986" w:type="dxa"/>
          </w:tcPr>
          <w:p w:rsidR="004827CF" w:rsidRDefault="004827CF" w:rsidP="00AF2689">
            <w:pPr>
              <w:jc w:val="both"/>
              <w:rPr>
                <w:i/>
                <w:lang w:val="en-US"/>
              </w:rPr>
            </w:pPr>
            <w:r>
              <w:rPr>
                <w:i/>
                <w:lang w:val="en-US"/>
              </w:rPr>
              <w:t>Streamlined projects</w:t>
            </w:r>
          </w:p>
          <w:p w:rsidR="004827CF" w:rsidRPr="004827CF" w:rsidRDefault="004827CF" w:rsidP="00AF2689">
            <w:pPr>
              <w:jc w:val="both"/>
              <w:rPr>
                <w:i/>
                <w:lang w:val="en-US"/>
              </w:rPr>
            </w:pPr>
            <w:r>
              <w:rPr>
                <w:lang w:val="en-US"/>
              </w:rPr>
              <w:t xml:space="preserve">New additional site(s)                  </w:t>
            </w:r>
            <w:r w:rsidRPr="004827CF">
              <w:rPr>
                <w:i/>
                <w:highlight w:val="lightGray"/>
                <w:lang w:val="en-US"/>
              </w:rPr>
              <w:t>Insert number</w:t>
            </w:r>
          </w:p>
        </w:tc>
        <w:tc>
          <w:tcPr>
            <w:tcW w:w="1552" w:type="dxa"/>
          </w:tcPr>
          <w:p w:rsidR="004827CF" w:rsidRDefault="004827CF" w:rsidP="00AF2689">
            <w:pPr>
              <w:jc w:val="center"/>
              <w:rPr>
                <w:lang w:val="en-US"/>
              </w:rPr>
            </w:pPr>
          </w:p>
          <w:p w:rsidR="004827CF" w:rsidRDefault="004827CF" w:rsidP="00AF2689">
            <w:pPr>
              <w:jc w:val="center"/>
              <w:rPr>
                <w:lang w:val="en-US"/>
              </w:rPr>
            </w:pPr>
            <w:r>
              <w:rPr>
                <w:lang w:val="en-US"/>
              </w:rPr>
              <w:t>x 500</w:t>
            </w:r>
          </w:p>
        </w:tc>
        <w:tc>
          <w:tcPr>
            <w:tcW w:w="1478" w:type="dxa"/>
          </w:tcPr>
          <w:p w:rsidR="004827CF" w:rsidRPr="001843C8" w:rsidRDefault="004827CF" w:rsidP="00AF2689">
            <w:pPr>
              <w:jc w:val="center"/>
              <w:rPr>
                <w:lang w:val="en-US"/>
              </w:rPr>
            </w:pPr>
          </w:p>
        </w:tc>
      </w:tr>
      <w:tr w:rsidR="00034D29" w:rsidRPr="001843C8" w:rsidTr="00D76624">
        <w:tc>
          <w:tcPr>
            <w:tcW w:w="5986" w:type="dxa"/>
          </w:tcPr>
          <w:p w:rsidR="00034D29" w:rsidRDefault="00034D29" w:rsidP="00AF2689">
            <w:pPr>
              <w:jc w:val="both"/>
              <w:rPr>
                <w:i/>
                <w:lang w:val="en-US"/>
              </w:rPr>
            </w:pPr>
            <w:r>
              <w:rPr>
                <w:lang w:val="en-US"/>
              </w:rPr>
              <w:t>Expedited review within 3 working days of submission (please note conditions)</w:t>
            </w:r>
            <w:r w:rsidR="002F4C96">
              <w:rPr>
                <w:vertAlign w:val="superscript"/>
                <w:lang w:val="en-US"/>
              </w:rPr>
              <w:t>2</w:t>
            </w:r>
            <w:bookmarkStart w:id="0" w:name="_GoBack"/>
            <w:bookmarkEnd w:id="0"/>
          </w:p>
        </w:tc>
        <w:tc>
          <w:tcPr>
            <w:tcW w:w="1552" w:type="dxa"/>
          </w:tcPr>
          <w:p w:rsidR="00034D29" w:rsidRDefault="00034D29" w:rsidP="00AF2689">
            <w:pPr>
              <w:jc w:val="center"/>
              <w:rPr>
                <w:lang w:val="en-US"/>
              </w:rPr>
            </w:pPr>
            <w:r>
              <w:rPr>
                <w:lang w:val="en-US"/>
              </w:rPr>
              <w:t>3,000</w:t>
            </w:r>
          </w:p>
        </w:tc>
        <w:tc>
          <w:tcPr>
            <w:tcW w:w="1478" w:type="dxa"/>
          </w:tcPr>
          <w:p w:rsidR="00034D29" w:rsidRPr="001843C8" w:rsidRDefault="00034D29" w:rsidP="00AF2689">
            <w:pPr>
              <w:jc w:val="center"/>
              <w:rPr>
                <w:lang w:val="en-US"/>
              </w:rPr>
            </w:pPr>
          </w:p>
        </w:tc>
      </w:tr>
    </w:tbl>
    <w:p w:rsidR="00216118" w:rsidRPr="0048631D" w:rsidRDefault="00216118" w:rsidP="0048631D">
      <w:pPr>
        <w:spacing w:after="0"/>
        <w:rPr>
          <w:rFonts w:ascii="Arial" w:hAnsi="Arial" w:cs="Arial"/>
          <w:sz w:val="18"/>
          <w:szCs w:val="18"/>
        </w:rPr>
      </w:pPr>
    </w:p>
    <w:p w:rsidR="004827CF" w:rsidRDefault="004827CF" w:rsidP="009613CB">
      <w:pPr>
        <w:spacing w:after="0"/>
        <w:jc w:val="both"/>
        <w:rPr>
          <w:b/>
          <w:lang w:val="en-US"/>
        </w:rPr>
      </w:pPr>
    </w:p>
    <w:p w:rsidR="00962B3F" w:rsidRDefault="00B17AFD" w:rsidP="009613CB">
      <w:pPr>
        <w:spacing w:after="0"/>
        <w:jc w:val="both"/>
        <w:rPr>
          <w:b/>
          <w:lang w:val="en-US"/>
        </w:rPr>
      </w:pPr>
      <w:r w:rsidRPr="002615F7">
        <w:rPr>
          <w:b/>
          <w:lang w:val="en-US"/>
        </w:rPr>
        <w:t>Conversion of an existing study to the streamlined process</w:t>
      </w:r>
      <w:r>
        <w:rPr>
          <w:b/>
          <w:lang w:val="en-US"/>
        </w:rPr>
        <w:t>:</w:t>
      </w:r>
    </w:p>
    <w:p w:rsidR="009613CB" w:rsidRDefault="009613CB" w:rsidP="009613CB">
      <w:pPr>
        <w:spacing w:after="0"/>
        <w:jc w:val="both"/>
        <w:rPr>
          <w:lang w:val="en-US"/>
        </w:rPr>
      </w:pPr>
    </w:p>
    <w:tbl>
      <w:tblPr>
        <w:tblStyle w:val="TableGrid"/>
        <w:tblW w:w="0" w:type="auto"/>
        <w:tblLook w:val="04A0" w:firstRow="1" w:lastRow="0" w:firstColumn="1" w:lastColumn="0" w:noHBand="0" w:noVBand="1"/>
      </w:tblPr>
      <w:tblGrid>
        <w:gridCol w:w="6050"/>
        <w:gridCol w:w="1529"/>
        <w:gridCol w:w="1437"/>
      </w:tblGrid>
      <w:tr w:rsidR="009613CB" w:rsidTr="00962B3F">
        <w:tc>
          <w:tcPr>
            <w:tcW w:w="6204" w:type="dxa"/>
          </w:tcPr>
          <w:p w:rsidR="009613CB" w:rsidRPr="002615F7" w:rsidRDefault="009613CB" w:rsidP="00962B3F">
            <w:pPr>
              <w:jc w:val="both"/>
              <w:rPr>
                <w:lang w:val="en-US"/>
              </w:rPr>
            </w:pPr>
            <w:r>
              <w:rPr>
                <w:lang w:val="en-US"/>
              </w:rPr>
              <w:t>Investigator-initiated/Alfred Health</w:t>
            </w:r>
          </w:p>
        </w:tc>
        <w:tc>
          <w:tcPr>
            <w:tcW w:w="1559" w:type="dxa"/>
          </w:tcPr>
          <w:p w:rsidR="009613CB" w:rsidRDefault="009613CB" w:rsidP="00962B3F">
            <w:pPr>
              <w:jc w:val="center"/>
              <w:rPr>
                <w:lang w:val="en-US"/>
              </w:rPr>
            </w:pPr>
            <w:r>
              <w:rPr>
                <w:lang w:val="en-US"/>
              </w:rPr>
              <w:t>Nil</w:t>
            </w:r>
          </w:p>
        </w:tc>
        <w:tc>
          <w:tcPr>
            <w:tcW w:w="1479" w:type="dxa"/>
          </w:tcPr>
          <w:p w:rsidR="009613CB" w:rsidRDefault="009613CB" w:rsidP="00962B3F">
            <w:pPr>
              <w:jc w:val="center"/>
              <w:rPr>
                <w:lang w:val="en-US"/>
              </w:rPr>
            </w:pPr>
          </w:p>
        </w:tc>
      </w:tr>
      <w:tr w:rsidR="009613CB" w:rsidTr="00962B3F">
        <w:tc>
          <w:tcPr>
            <w:tcW w:w="6204" w:type="dxa"/>
          </w:tcPr>
          <w:p w:rsidR="009613CB" w:rsidRPr="002615F7" w:rsidRDefault="009613CB" w:rsidP="00962B3F">
            <w:pPr>
              <w:jc w:val="both"/>
              <w:rPr>
                <w:lang w:val="en-US"/>
              </w:rPr>
            </w:pPr>
            <w:r>
              <w:rPr>
                <w:lang w:val="en-US"/>
              </w:rPr>
              <w:t>Investigator-initiated/Non-Alfred Health</w:t>
            </w:r>
          </w:p>
        </w:tc>
        <w:tc>
          <w:tcPr>
            <w:tcW w:w="1559" w:type="dxa"/>
          </w:tcPr>
          <w:p w:rsidR="009613CB" w:rsidRDefault="009613CB" w:rsidP="00962B3F">
            <w:pPr>
              <w:jc w:val="center"/>
              <w:rPr>
                <w:lang w:val="en-US"/>
              </w:rPr>
            </w:pPr>
            <w:r>
              <w:rPr>
                <w:lang w:val="en-US"/>
              </w:rPr>
              <w:t>200</w:t>
            </w:r>
          </w:p>
        </w:tc>
        <w:tc>
          <w:tcPr>
            <w:tcW w:w="1479" w:type="dxa"/>
          </w:tcPr>
          <w:p w:rsidR="009613CB" w:rsidRDefault="009613CB" w:rsidP="00962B3F">
            <w:pPr>
              <w:jc w:val="center"/>
              <w:rPr>
                <w:lang w:val="en-US"/>
              </w:rPr>
            </w:pPr>
          </w:p>
        </w:tc>
      </w:tr>
      <w:tr w:rsidR="00962B3F" w:rsidTr="00962B3F">
        <w:tc>
          <w:tcPr>
            <w:tcW w:w="6204" w:type="dxa"/>
          </w:tcPr>
          <w:p w:rsidR="00962B3F" w:rsidRPr="00612BEE" w:rsidRDefault="009613CB" w:rsidP="00962B3F">
            <w:pPr>
              <w:jc w:val="both"/>
              <w:rPr>
                <w:lang w:val="en-US"/>
              </w:rPr>
            </w:pPr>
            <w:r>
              <w:rPr>
                <w:lang w:val="en-US"/>
              </w:rPr>
              <w:t>C</w:t>
            </w:r>
            <w:r w:rsidRPr="002615F7">
              <w:rPr>
                <w:lang w:val="en-US"/>
              </w:rPr>
              <w:t>ollaborative group studies</w:t>
            </w:r>
          </w:p>
        </w:tc>
        <w:tc>
          <w:tcPr>
            <w:tcW w:w="1559" w:type="dxa"/>
          </w:tcPr>
          <w:p w:rsidR="00962B3F" w:rsidRDefault="00962B3F" w:rsidP="00962B3F">
            <w:pPr>
              <w:jc w:val="center"/>
              <w:rPr>
                <w:lang w:val="en-US"/>
              </w:rPr>
            </w:pPr>
            <w:r>
              <w:rPr>
                <w:lang w:val="en-US"/>
              </w:rPr>
              <w:t>20</w:t>
            </w:r>
            <w:r w:rsidRPr="001365C3">
              <w:rPr>
                <w:lang w:val="en-US"/>
              </w:rPr>
              <w:t>0</w:t>
            </w:r>
          </w:p>
        </w:tc>
        <w:tc>
          <w:tcPr>
            <w:tcW w:w="1479" w:type="dxa"/>
          </w:tcPr>
          <w:p w:rsidR="00962B3F" w:rsidRDefault="00962B3F" w:rsidP="00962B3F">
            <w:pPr>
              <w:jc w:val="center"/>
              <w:rPr>
                <w:lang w:val="en-US"/>
              </w:rPr>
            </w:pPr>
          </w:p>
        </w:tc>
      </w:tr>
      <w:tr w:rsidR="00962B3F" w:rsidRPr="00962B3F" w:rsidTr="00962B3F">
        <w:trPr>
          <w:trHeight w:val="287"/>
        </w:trPr>
        <w:tc>
          <w:tcPr>
            <w:tcW w:w="6204" w:type="dxa"/>
          </w:tcPr>
          <w:p w:rsidR="00962B3F" w:rsidRPr="00962B3F" w:rsidRDefault="00962B3F" w:rsidP="00962B3F">
            <w:pPr>
              <w:jc w:val="both"/>
              <w:rPr>
                <w:lang w:val="en-US"/>
              </w:rPr>
            </w:pPr>
            <w:r w:rsidRPr="002615F7">
              <w:rPr>
                <w:lang w:val="en-US"/>
              </w:rPr>
              <w:t>Investigator Initiated, commercially supported studies</w:t>
            </w:r>
          </w:p>
        </w:tc>
        <w:tc>
          <w:tcPr>
            <w:tcW w:w="1559" w:type="dxa"/>
          </w:tcPr>
          <w:p w:rsidR="00962B3F" w:rsidRDefault="00962B3F" w:rsidP="00962B3F">
            <w:pPr>
              <w:jc w:val="center"/>
              <w:rPr>
                <w:lang w:val="en-US"/>
              </w:rPr>
            </w:pPr>
            <w:r>
              <w:rPr>
                <w:lang w:val="en-US"/>
              </w:rPr>
              <w:t>650</w:t>
            </w:r>
          </w:p>
        </w:tc>
        <w:tc>
          <w:tcPr>
            <w:tcW w:w="1479" w:type="dxa"/>
          </w:tcPr>
          <w:p w:rsidR="00962B3F" w:rsidRDefault="00962B3F" w:rsidP="00962B3F">
            <w:pPr>
              <w:jc w:val="both"/>
              <w:rPr>
                <w:lang w:val="en-US"/>
              </w:rPr>
            </w:pPr>
          </w:p>
        </w:tc>
      </w:tr>
      <w:tr w:rsidR="009D27CF" w:rsidTr="00962B3F">
        <w:tc>
          <w:tcPr>
            <w:tcW w:w="6204" w:type="dxa"/>
            <w:vMerge w:val="restart"/>
          </w:tcPr>
          <w:p w:rsidR="009D27CF" w:rsidRPr="00612BEE" w:rsidRDefault="009D27CF" w:rsidP="00962B3F">
            <w:pPr>
              <w:jc w:val="both"/>
              <w:rPr>
                <w:lang w:val="en-US"/>
              </w:rPr>
            </w:pPr>
            <w:r w:rsidRPr="002615F7">
              <w:rPr>
                <w:lang w:val="en-US"/>
              </w:rPr>
              <w:t>Commercially sponsored studies</w:t>
            </w:r>
          </w:p>
          <w:p w:rsidR="009D27CF" w:rsidRPr="00612BEE" w:rsidRDefault="009D27CF" w:rsidP="009D27CF">
            <w:pPr>
              <w:jc w:val="both"/>
              <w:rPr>
                <w:lang w:val="en-US"/>
              </w:rPr>
            </w:pPr>
            <w:r>
              <w:rPr>
                <w:lang w:val="en-US"/>
              </w:rPr>
              <w:t xml:space="preserve">Additional site(s)                   </w:t>
            </w:r>
            <w:r w:rsidRPr="006D1FE9">
              <w:rPr>
                <w:i/>
                <w:highlight w:val="lightGray"/>
                <w:lang w:val="en-US"/>
              </w:rPr>
              <w:t>Insert number</w:t>
            </w:r>
          </w:p>
        </w:tc>
        <w:tc>
          <w:tcPr>
            <w:tcW w:w="1559" w:type="dxa"/>
          </w:tcPr>
          <w:p w:rsidR="009D27CF" w:rsidRDefault="009D27CF" w:rsidP="00962B3F">
            <w:pPr>
              <w:jc w:val="center"/>
              <w:rPr>
                <w:lang w:val="en-US"/>
              </w:rPr>
            </w:pPr>
            <w:r>
              <w:rPr>
                <w:lang w:val="en-US"/>
              </w:rPr>
              <w:t>1500</w:t>
            </w:r>
          </w:p>
        </w:tc>
        <w:tc>
          <w:tcPr>
            <w:tcW w:w="1479" w:type="dxa"/>
          </w:tcPr>
          <w:p w:rsidR="009D27CF" w:rsidRDefault="009D27CF" w:rsidP="00962B3F">
            <w:pPr>
              <w:jc w:val="center"/>
              <w:rPr>
                <w:lang w:val="en-US"/>
              </w:rPr>
            </w:pPr>
          </w:p>
        </w:tc>
      </w:tr>
      <w:tr w:rsidR="009D27CF" w:rsidTr="006E1F95">
        <w:tc>
          <w:tcPr>
            <w:tcW w:w="6204" w:type="dxa"/>
            <w:vMerge/>
            <w:tcBorders>
              <w:bottom w:val="single" w:sz="4" w:space="0" w:color="000000" w:themeColor="text1"/>
            </w:tcBorders>
          </w:tcPr>
          <w:p w:rsidR="009D27CF" w:rsidRDefault="009D27CF" w:rsidP="00962B3F">
            <w:pPr>
              <w:tabs>
                <w:tab w:val="left" w:pos="2025"/>
              </w:tabs>
              <w:jc w:val="center"/>
              <w:rPr>
                <w:lang w:val="en-US"/>
              </w:rPr>
            </w:pPr>
          </w:p>
        </w:tc>
        <w:tc>
          <w:tcPr>
            <w:tcW w:w="1559" w:type="dxa"/>
            <w:tcBorders>
              <w:bottom w:val="single" w:sz="4" w:space="0" w:color="000000" w:themeColor="text1"/>
            </w:tcBorders>
          </w:tcPr>
          <w:p w:rsidR="009D27CF" w:rsidRDefault="009D27CF" w:rsidP="00962B3F">
            <w:pPr>
              <w:jc w:val="center"/>
              <w:rPr>
                <w:lang w:val="en-US"/>
              </w:rPr>
            </w:pPr>
            <w:r>
              <w:rPr>
                <w:lang w:val="en-US"/>
              </w:rPr>
              <w:t>x 500</w:t>
            </w:r>
          </w:p>
        </w:tc>
        <w:tc>
          <w:tcPr>
            <w:tcW w:w="1479" w:type="dxa"/>
            <w:tcBorders>
              <w:bottom w:val="single" w:sz="4" w:space="0" w:color="000000" w:themeColor="text1"/>
            </w:tcBorders>
          </w:tcPr>
          <w:p w:rsidR="009D27CF" w:rsidRDefault="009D27CF" w:rsidP="00962B3F">
            <w:pPr>
              <w:jc w:val="center"/>
              <w:rPr>
                <w:lang w:val="en-US"/>
              </w:rPr>
            </w:pPr>
          </w:p>
        </w:tc>
      </w:tr>
    </w:tbl>
    <w:p w:rsidR="00330F32" w:rsidRDefault="00330F32" w:rsidP="00616A67">
      <w:pPr>
        <w:pStyle w:val="BodyDHS"/>
        <w:numPr>
          <w:ilvl w:val="12"/>
          <w:numId w:val="0"/>
        </w:numPr>
        <w:spacing w:after="0"/>
        <w:jc w:val="right"/>
        <w:rPr>
          <w:rFonts w:asciiTheme="minorHAnsi" w:hAnsiTheme="minorHAnsi"/>
          <w:b/>
          <w:sz w:val="24"/>
          <w:szCs w:val="24"/>
          <w:lang w:val="en-US"/>
        </w:rPr>
      </w:pPr>
    </w:p>
    <w:p w:rsidR="009613CB" w:rsidRDefault="009613CB" w:rsidP="00616A67">
      <w:pPr>
        <w:pStyle w:val="BodyDHS"/>
        <w:numPr>
          <w:ilvl w:val="12"/>
          <w:numId w:val="0"/>
        </w:numPr>
        <w:spacing w:after="0"/>
        <w:jc w:val="right"/>
        <w:rPr>
          <w:rFonts w:asciiTheme="minorHAnsi" w:hAnsiTheme="minorHAnsi"/>
          <w:b/>
          <w:sz w:val="24"/>
          <w:szCs w:val="24"/>
          <w:lang w:val="en-US"/>
        </w:rPr>
      </w:pPr>
    </w:p>
    <w:p w:rsidR="00432823" w:rsidRDefault="00616A67" w:rsidP="00616A67">
      <w:pPr>
        <w:pStyle w:val="BodyDHS"/>
        <w:numPr>
          <w:ilvl w:val="12"/>
          <w:numId w:val="0"/>
        </w:numPr>
        <w:spacing w:after="0"/>
        <w:jc w:val="right"/>
        <w:rPr>
          <w:rFonts w:asciiTheme="minorHAnsi" w:hAnsiTheme="minorHAnsi" w:cs="Arial"/>
          <w:b/>
          <w:sz w:val="24"/>
          <w:szCs w:val="24"/>
        </w:rPr>
      </w:pPr>
      <w:r>
        <w:rPr>
          <w:rFonts w:asciiTheme="minorHAnsi" w:hAnsiTheme="minorHAnsi"/>
          <w:b/>
          <w:sz w:val="24"/>
          <w:szCs w:val="24"/>
          <w:lang w:val="en-US"/>
        </w:rPr>
        <w:t>$200</w:t>
      </w:r>
      <w:r w:rsidR="00F44B65" w:rsidRPr="00432823">
        <w:rPr>
          <w:rFonts w:asciiTheme="minorHAnsi" w:hAnsiTheme="minorHAnsi"/>
          <w:b/>
          <w:sz w:val="24"/>
          <w:szCs w:val="24"/>
          <w:lang w:val="en-US"/>
        </w:rPr>
        <w:t xml:space="preserve"> </w:t>
      </w:r>
      <w:r w:rsidR="00152543" w:rsidRPr="00432823">
        <w:rPr>
          <w:rFonts w:asciiTheme="minorHAnsi" w:hAnsiTheme="minorHAnsi"/>
          <w:b/>
          <w:sz w:val="24"/>
          <w:szCs w:val="24"/>
          <w:lang w:val="en-US"/>
        </w:rPr>
        <w:t>Surcharge</w:t>
      </w:r>
      <w:r w:rsidR="00B93F34">
        <w:rPr>
          <w:rFonts w:asciiTheme="minorHAnsi" w:hAnsiTheme="minorHAnsi"/>
          <w:b/>
          <w:sz w:val="24"/>
          <w:szCs w:val="24"/>
          <w:lang w:val="en-US"/>
        </w:rPr>
        <w:tab/>
      </w:r>
      <w:r w:rsidR="00152543" w:rsidRPr="00432823">
        <w:rPr>
          <w:rFonts w:asciiTheme="minorHAnsi" w:hAnsiTheme="minorHAnsi"/>
          <w:b/>
          <w:sz w:val="24"/>
          <w:szCs w:val="24"/>
          <w:lang w:val="en-US"/>
        </w:rPr>
        <w:t xml:space="preserve">Yes </w:t>
      </w:r>
      <w:r w:rsidR="0077094F" w:rsidRPr="00152543">
        <w:rPr>
          <w:b/>
          <w:sz w:val="24"/>
          <w:szCs w:val="24"/>
          <w:lang w:val="en-US"/>
        </w:rPr>
        <w:fldChar w:fldCharType="begin">
          <w:ffData>
            <w:name w:val="Check34"/>
            <w:enabled/>
            <w:calcOnExit w:val="0"/>
            <w:checkBox>
              <w:sizeAuto/>
              <w:default w:val="0"/>
            </w:checkBox>
          </w:ffData>
        </w:fldChar>
      </w:r>
      <w:r w:rsidR="00871076" w:rsidRPr="00152543">
        <w:rPr>
          <w:b/>
          <w:sz w:val="24"/>
          <w:szCs w:val="24"/>
          <w:lang w:val="en-US"/>
        </w:rPr>
        <w:instrText xml:space="preserve"> FORMCHECKBOX </w:instrText>
      </w:r>
      <w:r w:rsidR="002F4C96">
        <w:rPr>
          <w:b/>
          <w:sz w:val="24"/>
          <w:szCs w:val="24"/>
          <w:lang w:val="en-US"/>
        </w:rPr>
      </w:r>
      <w:r w:rsidR="002F4C96">
        <w:rPr>
          <w:b/>
          <w:sz w:val="24"/>
          <w:szCs w:val="24"/>
          <w:lang w:val="en-US"/>
        </w:rPr>
        <w:fldChar w:fldCharType="separate"/>
      </w:r>
      <w:r w:rsidR="0077094F" w:rsidRPr="00152543">
        <w:rPr>
          <w:b/>
          <w:sz w:val="24"/>
          <w:szCs w:val="24"/>
          <w:lang w:val="en-US"/>
        </w:rPr>
        <w:fldChar w:fldCharType="end"/>
      </w:r>
      <w:r w:rsidR="00152543" w:rsidRPr="00432823">
        <w:rPr>
          <w:rFonts w:asciiTheme="minorHAnsi" w:hAnsiTheme="minorHAnsi"/>
          <w:b/>
          <w:sz w:val="24"/>
          <w:szCs w:val="24"/>
          <w:lang w:val="en-US"/>
        </w:rPr>
        <w:t xml:space="preserve"> No </w:t>
      </w:r>
      <w:r w:rsidR="0077094F" w:rsidRPr="00152543">
        <w:rPr>
          <w:b/>
          <w:sz w:val="24"/>
          <w:szCs w:val="24"/>
          <w:lang w:val="en-US"/>
        </w:rPr>
        <w:fldChar w:fldCharType="begin">
          <w:ffData>
            <w:name w:val="Check34"/>
            <w:enabled/>
            <w:calcOnExit w:val="0"/>
            <w:checkBox>
              <w:sizeAuto/>
              <w:default w:val="0"/>
            </w:checkBox>
          </w:ffData>
        </w:fldChar>
      </w:r>
      <w:r w:rsidR="00871076" w:rsidRPr="00152543">
        <w:rPr>
          <w:b/>
          <w:sz w:val="24"/>
          <w:szCs w:val="24"/>
          <w:lang w:val="en-US"/>
        </w:rPr>
        <w:instrText xml:space="preserve"> FORMCHECKBOX </w:instrText>
      </w:r>
      <w:r w:rsidR="002F4C96">
        <w:rPr>
          <w:b/>
          <w:sz w:val="24"/>
          <w:szCs w:val="24"/>
          <w:lang w:val="en-US"/>
        </w:rPr>
      </w:r>
      <w:r w:rsidR="002F4C96">
        <w:rPr>
          <w:b/>
          <w:sz w:val="24"/>
          <w:szCs w:val="24"/>
          <w:lang w:val="en-US"/>
        </w:rPr>
        <w:fldChar w:fldCharType="separate"/>
      </w:r>
      <w:r w:rsidR="0077094F" w:rsidRPr="00152543">
        <w:rPr>
          <w:b/>
          <w:sz w:val="24"/>
          <w:szCs w:val="24"/>
          <w:lang w:val="en-US"/>
        </w:rPr>
        <w:fldChar w:fldCharType="end"/>
      </w:r>
    </w:p>
    <w:p w:rsidR="00432823" w:rsidRDefault="00432823" w:rsidP="00616A67">
      <w:pPr>
        <w:pStyle w:val="BodyDHS"/>
        <w:numPr>
          <w:ilvl w:val="12"/>
          <w:numId w:val="0"/>
        </w:numPr>
        <w:spacing w:after="0"/>
        <w:rPr>
          <w:rFonts w:asciiTheme="minorHAnsi" w:hAnsiTheme="minorHAnsi" w:cs="Arial"/>
          <w:b/>
          <w:sz w:val="18"/>
          <w:szCs w:val="18"/>
        </w:rPr>
      </w:pPr>
    </w:p>
    <w:p w:rsidR="00330F32" w:rsidRPr="007C7B7C" w:rsidRDefault="00330F32" w:rsidP="00616A67">
      <w:pPr>
        <w:pStyle w:val="BodyDHS"/>
        <w:numPr>
          <w:ilvl w:val="12"/>
          <w:numId w:val="0"/>
        </w:numPr>
        <w:spacing w:after="0"/>
        <w:rPr>
          <w:rFonts w:asciiTheme="minorHAnsi" w:hAnsiTheme="minorHAnsi" w:cs="Arial"/>
          <w:b/>
          <w:sz w:val="18"/>
          <w:szCs w:val="18"/>
        </w:rPr>
      </w:pPr>
    </w:p>
    <w:p w:rsidR="00330F32" w:rsidRPr="00962B3F" w:rsidRDefault="00F44B65" w:rsidP="00962B3F">
      <w:pPr>
        <w:pStyle w:val="BodyDHS"/>
        <w:numPr>
          <w:ilvl w:val="12"/>
          <w:numId w:val="0"/>
        </w:numPr>
        <w:spacing w:after="0"/>
        <w:jc w:val="right"/>
        <w:rPr>
          <w:rFonts w:asciiTheme="minorHAnsi" w:hAnsiTheme="minorHAnsi" w:cs="Arial"/>
          <w:b/>
          <w:sz w:val="32"/>
          <w:szCs w:val="32"/>
        </w:rPr>
      </w:pPr>
      <w:r w:rsidRPr="00432823">
        <w:rPr>
          <w:rFonts w:asciiTheme="minorHAnsi" w:hAnsiTheme="minorHAnsi" w:cs="Arial"/>
          <w:b/>
          <w:sz w:val="32"/>
          <w:szCs w:val="32"/>
        </w:rPr>
        <w:t>Total fee</w:t>
      </w:r>
      <w:r w:rsidRPr="00432823">
        <w:rPr>
          <w:rFonts w:asciiTheme="minorHAnsi" w:hAnsiTheme="minorHAnsi" w:cs="Arial"/>
          <w:b/>
          <w:sz w:val="32"/>
          <w:szCs w:val="32"/>
        </w:rPr>
        <w:tab/>
      </w:r>
      <w:r w:rsidRPr="00432823">
        <w:rPr>
          <w:rFonts w:asciiTheme="minorHAnsi" w:hAnsiTheme="minorHAnsi" w:cs="Arial"/>
          <w:b/>
          <w:sz w:val="32"/>
          <w:szCs w:val="32"/>
          <w:u w:val="single"/>
        </w:rPr>
        <w:tab/>
      </w:r>
      <w:r w:rsidRPr="00432823">
        <w:rPr>
          <w:rFonts w:asciiTheme="minorHAnsi" w:hAnsiTheme="minorHAnsi" w:cs="Arial"/>
          <w:b/>
          <w:sz w:val="32"/>
          <w:szCs w:val="32"/>
          <w:u w:val="single"/>
        </w:rPr>
        <w:tab/>
      </w:r>
    </w:p>
    <w:p w:rsidR="00962B3F" w:rsidRDefault="00962B3F" w:rsidP="00330F32">
      <w:pPr>
        <w:pStyle w:val="BodyDHS"/>
        <w:numPr>
          <w:ilvl w:val="12"/>
          <w:numId w:val="0"/>
        </w:numPr>
        <w:spacing w:after="0"/>
        <w:jc w:val="center"/>
        <w:rPr>
          <w:rFonts w:asciiTheme="minorHAnsi" w:hAnsiTheme="minorHAnsi" w:cs="Arial"/>
          <w:b/>
          <w:i/>
          <w:sz w:val="22"/>
          <w:szCs w:val="22"/>
        </w:rPr>
      </w:pPr>
    </w:p>
    <w:p w:rsidR="00034D29" w:rsidRPr="00A800DA" w:rsidRDefault="00034D29" w:rsidP="00034D29">
      <w:pPr>
        <w:pStyle w:val="BodyDHS"/>
        <w:numPr>
          <w:ilvl w:val="0"/>
          <w:numId w:val="16"/>
        </w:numPr>
        <w:spacing w:after="0"/>
        <w:rPr>
          <w:rFonts w:asciiTheme="minorHAnsi" w:hAnsiTheme="minorHAnsi" w:cs="Arial"/>
          <w:b/>
          <w:i/>
          <w:sz w:val="22"/>
          <w:szCs w:val="22"/>
        </w:rPr>
      </w:pPr>
      <w:r w:rsidRPr="00F40A0B">
        <w:rPr>
          <w:rFonts w:asciiTheme="minorHAnsi" w:hAnsiTheme="minorHAnsi"/>
          <w:sz w:val="20"/>
          <w:lang w:val="en-US"/>
        </w:rPr>
        <w:t xml:space="preserve">Please refer to the NHS definitions of substantial and non-substantial amendments: </w:t>
      </w:r>
      <w:hyperlink r:id="rId8" w:history="1">
        <w:r w:rsidRPr="00F40A0B">
          <w:rPr>
            <w:rStyle w:val="Hyperlink"/>
            <w:rFonts w:asciiTheme="minorHAnsi" w:hAnsiTheme="minorHAnsi"/>
            <w:sz w:val="20"/>
            <w:lang w:val="en-US"/>
          </w:rPr>
          <w:t>https://www.hra.nhs.uk/approvals-amendments/amending-approval/examples-of-substantial-and-non-substantial-amendments/</w:t>
        </w:r>
      </w:hyperlink>
    </w:p>
    <w:p w:rsidR="00A800DA" w:rsidRPr="00A800DA" w:rsidRDefault="00A800DA" w:rsidP="00A800DA">
      <w:pPr>
        <w:pStyle w:val="BodyDHS"/>
        <w:spacing w:after="0"/>
        <w:ind w:left="720"/>
        <w:rPr>
          <w:rFonts w:asciiTheme="minorHAnsi" w:hAnsiTheme="minorHAnsi" w:cs="Arial"/>
          <w:b/>
          <w:i/>
          <w:sz w:val="22"/>
          <w:szCs w:val="22"/>
        </w:rPr>
      </w:pPr>
    </w:p>
    <w:p w:rsidR="00034D29" w:rsidRPr="00F40A0B" w:rsidRDefault="00034D29" w:rsidP="00F40A0B">
      <w:pPr>
        <w:pStyle w:val="ListParagraph"/>
        <w:numPr>
          <w:ilvl w:val="0"/>
          <w:numId w:val="16"/>
        </w:numPr>
        <w:rPr>
          <w:sz w:val="20"/>
          <w:szCs w:val="20"/>
          <w:lang w:val="en-US"/>
        </w:rPr>
      </w:pPr>
      <w:r w:rsidRPr="00F40A0B">
        <w:rPr>
          <w:sz w:val="20"/>
          <w:szCs w:val="20"/>
          <w:lang w:val="en-US"/>
        </w:rPr>
        <w:t>The service will provide a scientific and ethical review of an amendment application submitted to the Alfred Hospital Ethics Committee within three working days provided the following conditions are met:</w:t>
      </w:r>
    </w:p>
    <w:p w:rsidR="00034D29" w:rsidRPr="007C7198" w:rsidRDefault="00034D29" w:rsidP="00034D29">
      <w:pPr>
        <w:pStyle w:val="ListParagraph"/>
        <w:numPr>
          <w:ilvl w:val="0"/>
          <w:numId w:val="17"/>
        </w:numPr>
        <w:spacing w:after="0" w:line="240" w:lineRule="auto"/>
        <w:rPr>
          <w:rFonts w:cs="Arial"/>
          <w:sz w:val="20"/>
          <w:szCs w:val="20"/>
        </w:rPr>
      </w:pPr>
      <w:r w:rsidRPr="007C7198">
        <w:rPr>
          <w:rFonts w:cs="Arial"/>
          <w:sz w:val="20"/>
          <w:szCs w:val="20"/>
        </w:rPr>
        <w:t>Applicati</w:t>
      </w:r>
      <w:r w:rsidRPr="00A52B05">
        <w:rPr>
          <w:rFonts w:cs="Arial"/>
          <w:sz w:val="20"/>
          <w:szCs w:val="20"/>
        </w:rPr>
        <w:t xml:space="preserve">ons need to be submitted </w:t>
      </w:r>
      <w:r>
        <w:rPr>
          <w:rFonts w:cs="Arial"/>
          <w:sz w:val="20"/>
          <w:szCs w:val="20"/>
        </w:rPr>
        <w:t xml:space="preserve">via ERA </w:t>
      </w:r>
      <w:r w:rsidRPr="00A52B05">
        <w:rPr>
          <w:rFonts w:cs="Arial"/>
          <w:sz w:val="20"/>
          <w:szCs w:val="20"/>
        </w:rPr>
        <w:t>by 9am</w:t>
      </w:r>
      <w:r>
        <w:rPr>
          <w:rFonts w:cs="Arial"/>
          <w:sz w:val="20"/>
          <w:szCs w:val="20"/>
        </w:rPr>
        <w:t xml:space="preserve">. </w:t>
      </w:r>
      <w:r w:rsidRPr="00A52B05">
        <w:rPr>
          <w:rFonts w:cs="Arial"/>
          <w:sz w:val="20"/>
          <w:szCs w:val="20"/>
        </w:rPr>
        <w:t xml:space="preserve"> </w:t>
      </w:r>
      <w:r>
        <w:rPr>
          <w:rFonts w:cs="Arial"/>
          <w:sz w:val="20"/>
          <w:szCs w:val="20"/>
        </w:rPr>
        <w:t xml:space="preserve">Researchers should also send an email to the Ethics Officer responsible for the study as well as to </w:t>
      </w:r>
      <w:hyperlink r:id="rId9" w:history="1">
        <w:r w:rsidRPr="00361915">
          <w:rPr>
            <w:rStyle w:val="Hyperlink"/>
            <w:rFonts w:cs="Arial"/>
            <w:sz w:val="20"/>
            <w:szCs w:val="20"/>
          </w:rPr>
          <w:t>research@alfred.org.au</w:t>
        </w:r>
      </w:hyperlink>
      <w:r>
        <w:rPr>
          <w:rFonts w:cs="Arial"/>
          <w:sz w:val="20"/>
          <w:szCs w:val="20"/>
        </w:rPr>
        <w:t xml:space="preserve"> to flag the application for expedited review.</w:t>
      </w:r>
    </w:p>
    <w:p w:rsidR="00034D29" w:rsidRPr="007C7198" w:rsidRDefault="00034D29" w:rsidP="00034D29">
      <w:pPr>
        <w:pStyle w:val="ListParagraph"/>
        <w:numPr>
          <w:ilvl w:val="0"/>
          <w:numId w:val="17"/>
        </w:numPr>
        <w:spacing w:after="0" w:line="240" w:lineRule="auto"/>
        <w:rPr>
          <w:rFonts w:cs="Arial"/>
          <w:sz w:val="20"/>
          <w:szCs w:val="20"/>
        </w:rPr>
      </w:pPr>
      <w:r w:rsidRPr="007C7198">
        <w:rPr>
          <w:rFonts w:cs="Arial"/>
          <w:sz w:val="20"/>
          <w:szCs w:val="20"/>
        </w:rPr>
        <w:t>The applications need to be accurate and complete, as assessed by the reviewer and the Office.  An application is considered complete if it contains all of the following documents, if relevant:</w:t>
      </w:r>
    </w:p>
    <w:p w:rsidR="00034D29" w:rsidRPr="007C7198" w:rsidRDefault="00034D29" w:rsidP="00034D29">
      <w:pPr>
        <w:pStyle w:val="ListParagraph"/>
        <w:numPr>
          <w:ilvl w:val="1"/>
          <w:numId w:val="18"/>
        </w:numPr>
        <w:spacing w:after="0" w:line="240" w:lineRule="auto"/>
        <w:rPr>
          <w:rFonts w:cs="Arial"/>
          <w:sz w:val="20"/>
          <w:szCs w:val="20"/>
        </w:rPr>
      </w:pPr>
      <w:r w:rsidRPr="007C7198">
        <w:rPr>
          <w:rFonts w:cs="Arial"/>
          <w:sz w:val="20"/>
          <w:szCs w:val="20"/>
        </w:rPr>
        <w:t>Amendment application form</w:t>
      </w:r>
    </w:p>
    <w:p w:rsidR="00034D29" w:rsidRPr="007C7198" w:rsidRDefault="00034D29" w:rsidP="00034D29">
      <w:pPr>
        <w:pStyle w:val="ListParagraph"/>
        <w:numPr>
          <w:ilvl w:val="1"/>
          <w:numId w:val="18"/>
        </w:numPr>
        <w:spacing w:after="0" w:line="240" w:lineRule="auto"/>
        <w:rPr>
          <w:rFonts w:cs="Arial"/>
          <w:sz w:val="20"/>
          <w:szCs w:val="20"/>
        </w:rPr>
      </w:pPr>
      <w:r w:rsidRPr="007C7198">
        <w:rPr>
          <w:rFonts w:cs="Arial"/>
          <w:sz w:val="20"/>
          <w:szCs w:val="20"/>
        </w:rPr>
        <w:t>An explanatory letter detailing the rationale for the amendment if the amendment application form is insufficient</w:t>
      </w:r>
    </w:p>
    <w:p w:rsidR="00034D29" w:rsidRPr="007C7198" w:rsidRDefault="00034D29" w:rsidP="00034D29">
      <w:pPr>
        <w:pStyle w:val="ListParagraph"/>
        <w:numPr>
          <w:ilvl w:val="1"/>
          <w:numId w:val="18"/>
        </w:numPr>
        <w:spacing w:after="0" w:line="240" w:lineRule="auto"/>
        <w:rPr>
          <w:rFonts w:cs="Arial"/>
          <w:sz w:val="20"/>
          <w:szCs w:val="20"/>
        </w:rPr>
      </w:pPr>
      <w:r w:rsidRPr="007C7198">
        <w:rPr>
          <w:rFonts w:cs="Arial"/>
          <w:sz w:val="20"/>
          <w:szCs w:val="20"/>
        </w:rPr>
        <w:t>Protocol with a summary of changes</w:t>
      </w:r>
    </w:p>
    <w:p w:rsidR="00034D29" w:rsidRPr="007C7198" w:rsidRDefault="00034D29" w:rsidP="00034D29">
      <w:pPr>
        <w:pStyle w:val="ListParagraph"/>
        <w:numPr>
          <w:ilvl w:val="1"/>
          <w:numId w:val="18"/>
        </w:numPr>
        <w:spacing w:after="0" w:line="240" w:lineRule="auto"/>
        <w:rPr>
          <w:rFonts w:cs="Arial"/>
          <w:sz w:val="20"/>
          <w:szCs w:val="20"/>
        </w:rPr>
      </w:pPr>
      <w:r w:rsidRPr="007C7198">
        <w:rPr>
          <w:rFonts w:cs="Arial"/>
          <w:sz w:val="20"/>
          <w:szCs w:val="20"/>
        </w:rPr>
        <w:t>Investigator’s Brochure with a summary of changes</w:t>
      </w:r>
    </w:p>
    <w:p w:rsidR="00034D29" w:rsidRPr="007C7198" w:rsidRDefault="00034D29" w:rsidP="00034D29">
      <w:pPr>
        <w:pStyle w:val="ListParagraph"/>
        <w:numPr>
          <w:ilvl w:val="1"/>
          <w:numId w:val="18"/>
        </w:numPr>
        <w:spacing w:after="0" w:line="240" w:lineRule="auto"/>
        <w:rPr>
          <w:rFonts w:cs="Arial"/>
          <w:sz w:val="20"/>
          <w:szCs w:val="20"/>
        </w:rPr>
      </w:pPr>
      <w:r w:rsidRPr="007C7198">
        <w:rPr>
          <w:rFonts w:cs="Arial"/>
          <w:sz w:val="20"/>
          <w:szCs w:val="20"/>
        </w:rPr>
        <w:t>PICF(s) with tracked changes highlighting revisions</w:t>
      </w:r>
    </w:p>
    <w:p w:rsidR="00034D29" w:rsidRPr="007C7198" w:rsidRDefault="00034D29" w:rsidP="00034D29">
      <w:pPr>
        <w:pStyle w:val="ListParagraph"/>
        <w:numPr>
          <w:ilvl w:val="1"/>
          <w:numId w:val="18"/>
        </w:numPr>
        <w:spacing w:after="0" w:line="240" w:lineRule="auto"/>
        <w:rPr>
          <w:rFonts w:cs="Arial"/>
          <w:sz w:val="20"/>
          <w:szCs w:val="20"/>
        </w:rPr>
      </w:pPr>
      <w:r w:rsidRPr="007C7198">
        <w:rPr>
          <w:rFonts w:cs="Arial"/>
          <w:sz w:val="20"/>
          <w:szCs w:val="20"/>
        </w:rPr>
        <w:t>For amendments relating to changes in dose of the investigational product, relevant documentation from the Safety Monitoring Committee</w:t>
      </w:r>
    </w:p>
    <w:p w:rsidR="00034D29" w:rsidRDefault="00034D29" w:rsidP="00034D29">
      <w:pPr>
        <w:pStyle w:val="ListParagraph"/>
        <w:numPr>
          <w:ilvl w:val="1"/>
          <w:numId w:val="18"/>
        </w:numPr>
        <w:spacing w:after="0" w:line="240" w:lineRule="auto"/>
        <w:rPr>
          <w:rFonts w:cs="Arial"/>
          <w:sz w:val="20"/>
          <w:szCs w:val="20"/>
        </w:rPr>
      </w:pPr>
      <w:r w:rsidRPr="007C7198">
        <w:rPr>
          <w:rFonts w:cs="Arial"/>
          <w:sz w:val="20"/>
          <w:szCs w:val="20"/>
        </w:rPr>
        <w:t>Amended Medical Physicist’s report if there are changes to the mode and/or frequency of the ionising radiation procedures</w:t>
      </w:r>
    </w:p>
    <w:p w:rsidR="00034D29" w:rsidRPr="007C7198" w:rsidRDefault="00034D29" w:rsidP="00034D29">
      <w:pPr>
        <w:pStyle w:val="ListParagraph"/>
        <w:numPr>
          <w:ilvl w:val="1"/>
          <w:numId w:val="18"/>
        </w:numPr>
        <w:spacing w:after="0" w:line="240" w:lineRule="auto"/>
        <w:rPr>
          <w:rFonts w:cs="Arial"/>
          <w:sz w:val="20"/>
          <w:szCs w:val="20"/>
        </w:rPr>
      </w:pPr>
      <w:r>
        <w:rPr>
          <w:rFonts w:cs="Arial"/>
          <w:sz w:val="20"/>
          <w:szCs w:val="20"/>
        </w:rPr>
        <w:t>Appropriate and correct legal documents</w:t>
      </w:r>
    </w:p>
    <w:p w:rsidR="00034D29" w:rsidRPr="007C7198" w:rsidRDefault="00034D29" w:rsidP="00034D29">
      <w:pPr>
        <w:pStyle w:val="ListParagraph"/>
        <w:numPr>
          <w:ilvl w:val="1"/>
          <w:numId w:val="18"/>
        </w:numPr>
        <w:spacing w:after="0" w:line="240" w:lineRule="auto"/>
        <w:rPr>
          <w:rFonts w:cs="Arial"/>
          <w:sz w:val="20"/>
          <w:szCs w:val="20"/>
        </w:rPr>
      </w:pPr>
      <w:r w:rsidRPr="007C7198">
        <w:rPr>
          <w:rFonts w:cs="Arial"/>
          <w:sz w:val="20"/>
          <w:szCs w:val="20"/>
        </w:rPr>
        <w:t>Any other documentation relevant to the amendment</w:t>
      </w:r>
    </w:p>
    <w:p w:rsidR="00034D29" w:rsidRPr="007C7198" w:rsidRDefault="00034D29" w:rsidP="00034D29">
      <w:pPr>
        <w:pStyle w:val="ListParagraph"/>
        <w:numPr>
          <w:ilvl w:val="1"/>
          <w:numId w:val="18"/>
        </w:numPr>
        <w:spacing w:after="0" w:line="240" w:lineRule="auto"/>
        <w:rPr>
          <w:rFonts w:cs="Arial"/>
          <w:sz w:val="20"/>
          <w:szCs w:val="20"/>
        </w:rPr>
      </w:pPr>
      <w:r w:rsidRPr="007C7198">
        <w:rPr>
          <w:rFonts w:cs="Arial"/>
          <w:sz w:val="20"/>
          <w:szCs w:val="20"/>
        </w:rPr>
        <w:t>Amendment fee payment form</w:t>
      </w:r>
    </w:p>
    <w:p w:rsidR="00034D29" w:rsidRPr="007C7198" w:rsidRDefault="00034D29" w:rsidP="00034D29">
      <w:pPr>
        <w:pStyle w:val="ListParagraph"/>
        <w:numPr>
          <w:ilvl w:val="0"/>
          <w:numId w:val="17"/>
        </w:numPr>
        <w:spacing w:after="0" w:line="240" w:lineRule="auto"/>
        <w:jc w:val="both"/>
        <w:rPr>
          <w:sz w:val="20"/>
          <w:szCs w:val="20"/>
          <w:lang w:val="en-US"/>
        </w:rPr>
      </w:pPr>
      <w:r>
        <w:rPr>
          <w:sz w:val="20"/>
          <w:szCs w:val="20"/>
          <w:lang w:val="en-US"/>
        </w:rPr>
        <w:t xml:space="preserve">The Office will screen the application within 24 hours and advise whether the application is complete and </w:t>
      </w:r>
      <w:r w:rsidR="0092514A">
        <w:rPr>
          <w:sz w:val="20"/>
          <w:szCs w:val="20"/>
          <w:lang w:val="en-US"/>
        </w:rPr>
        <w:t xml:space="preserve">can be </w:t>
      </w:r>
      <w:r>
        <w:rPr>
          <w:sz w:val="20"/>
          <w:szCs w:val="20"/>
          <w:lang w:val="en-US"/>
        </w:rPr>
        <w:t>released for review.</w:t>
      </w:r>
      <w:r w:rsidR="0092514A">
        <w:rPr>
          <w:sz w:val="20"/>
          <w:szCs w:val="20"/>
          <w:lang w:val="en-US"/>
        </w:rPr>
        <w:t xml:space="preserve"> If the application is incomplete, feedback will be provided.</w:t>
      </w:r>
    </w:p>
    <w:p w:rsidR="00034D29" w:rsidRPr="007C7198" w:rsidRDefault="00034D29" w:rsidP="00034D29">
      <w:pPr>
        <w:pStyle w:val="ListParagraph"/>
        <w:numPr>
          <w:ilvl w:val="0"/>
          <w:numId w:val="17"/>
        </w:numPr>
        <w:spacing w:after="0" w:line="240" w:lineRule="auto"/>
        <w:jc w:val="both"/>
        <w:rPr>
          <w:sz w:val="20"/>
          <w:szCs w:val="20"/>
          <w:lang w:val="en-US"/>
        </w:rPr>
      </w:pPr>
      <w:r w:rsidRPr="007C7198">
        <w:rPr>
          <w:rFonts w:cs="Arial"/>
          <w:sz w:val="20"/>
          <w:szCs w:val="20"/>
        </w:rPr>
        <w:t>The clock commences once the application is deemed complete and correct</w:t>
      </w:r>
    </w:p>
    <w:p w:rsidR="00034D29" w:rsidRPr="007C7198" w:rsidRDefault="00034D29" w:rsidP="00034D29">
      <w:pPr>
        <w:pStyle w:val="ListParagraph"/>
        <w:numPr>
          <w:ilvl w:val="0"/>
          <w:numId w:val="17"/>
        </w:numPr>
        <w:spacing w:after="0" w:line="240" w:lineRule="auto"/>
        <w:jc w:val="both"/>
        <w:rPr>
          <w:sz w:val="20"/>
          <w:szCs w:val="20"/>
          <w:lang w:val="en-US"/>
        </w:rPr>
      </w:pPr>
      <w:r>
        <w:rPr>
          <w:rFonts w:cs="Arial"/>
          <w:sz w:val="20"/>
          <w:szCs w:val="20"/>
        </w:rPr>
        <w:t xml:space="preserve">The application will be reviewed within three working days.  Please note that this may not necessarily equate to </w:t>
      </w:r>
      <w:r w:rsidRPr="007C7198">
        <w:rPr>
          <w:rFonts w:cs="Arial"/>
          <w:i/>
          <w:sz w:val="20"/>
          <w:szCs w:val="20"/>
        </w:rPr>
        <w:t>approval</w:t>
      </w:r>
      <w:r>
        <w:rPr>
          <w:rFonts w:cs="Arial"/>
          <w:sz w:val="20"/>
          <w:szCs w:val="20"/>
        </w:rPr>
        <w:t xml:space="preserve"> within three working days.  </w:t>
      </w:r>
    </w:p>
    <w:p w:rsidR="00034D29" w:rsidRPr="007C7198" w:rsidRDefault="00034D29" w:rsidP="00034D29">
      <w:pPr>
        <w:pStyle w:val="ListParagraph"/>
        <w:numPr>
          <w:ilvl w:val="0"/>
          <w:numId w:val="17"/>
        </w:numPr>
        <w:spacing w:after="0" w:line="240" w:lineRule="auto"/>
        <w:jc w:val="both"/>
        <w:rPr>
          <w:sz w:val="20"/>
          <w:szCs w:val="20"/>
          <w:lang w:val="en-US"/>
        </w:rPr>
      </w:pPr>
      <w:r>
        <w:rPr>
          <w:rFonts w:cs="Arial"/>
          <w:sz w:val="20"/>
          <w:szCs w:val="20"/>
        </w:rPr>
        <w:t xml:space="preserve">If queries arise out of the review, the responses will be subject to another three working day turnaround.  Once the responses are submitted via ERA, researchers should send an email to the Ethics Officer as well as </w:t>
      </w:r>
      <w:r w:rsidR="0092514A">
        <w:rPr>
          <w:rFonts w:cs="Arial"/>
          <w:sz w:val="20"/>
          <w:szCs w:val="20"/>
        </w:rPr>
        <w:t xml:space="preserve">to </w:t>
      </w:r>
      <w:hyperlink r:id="rId10" w:history="1">
        <w:r w:rsidRPr="00361915">
          <w:rPr>
            <w:rStyle w:val="Hyperlink"/>
            <w:rFonts w:cs="Arial"/>
            <w:sz w:val="20"/>
            <w:szCs w:val="20"/>
          </w:rPr>
          <w:t>research@alfred.org.au</w:t>
        </w:r>
      </w:hyperlink>
      <w:r>
        <w:rPr>
          <w:rFonts w:cs="Arial"/>
          <w:sz w:val="20"/>
          <w:szCs w:val="20"/>
        </w:rPr>
        <w:t xml:space="preserve"> to flag that the responses had been submitted.</w:t>
      </w:r>
    </w:p>
    <w:p w:rsidR="00034D29" w:rsidRDefault="00034D29" w:rsidP="00F40A0B">
      <w:pPr>
        <w:pStyle w:val="BodyDHS"/>
        <w:spacing w:after="0"/>
        <w:ind w:left="720"/>
        <w:rPr>
          <w:rFonts w:asciiTheme="minorHAnsi" w:hAnsiTheme="minorHAnsi" w:cs="Arial"/>
          <w:b/>
          <w:i/>
          <w:sz w:val="22"/>
          <w:szCs w:val="22"/>
        </w:rPr>
      </w:pPr>
    </w:p>
    <w:p w:rsidR="00034D29" w:rsidRDefault="00034D29" w:rsidP="00133005">
      <w:pPr>
        <w:pStyle w:val="BodyDHS"/>
        <w:numPr>
          <w:ilvl w:val="12"/>
          <w:numId w:val="0"/>
        </w:numPr>
        <w:spacing w:after="0"/>
        <w:jc w:val="center"/>
        <w:rPr>
          <w:rFonts w:asciiTheme="minorHAnsi" w:hAnsiTheme="minorHAnsi" w:cs="Arial"/>
          <w:b/>
          <w:i/>
          <w:sz w:val="22"/>
          <w:szCs w:val="22"/>
        </w:rPr>
      </w:pPr>
    </w:p>
    <w:p w:rsidR="00034D29" w:rsidRDefault="00034D29" w:rsidP="00133005">
      <w:pPr>
        <w:pStyle w:val="BodyDHS"/>
        <w:numPr>
          <w:ilvl w:val="12"/>
          <w:numId w:val="0"/>
        </w:numPr>
        <w:spacing w:after="0"/>
        <w:jc w:val="center"/>
        <w:rPr>
          <w:rFonts w:asciiTheme="minorHAnsi" w:hAnsiTheme="minorHAnsi" w:cs="Arial"/>
          <w:b/>
          <w:i/>
          <w:sz w:val="22"/>
          <w:szCs w:val="22"/>
        </w:rPr>
      </w:pPr>
    </w:p>
    <w:p w:rsidR="00034D29" w:rsidRDefault="00034D29" w:rsidP="00133005">
      <w:pPr>
        <w:pStyle w:val="BodyDHS"/>
        <w:numPr>
          <w:ilvl w:val="12"/>
          <w:numId w:val="0"/>
        </w:numPr>
        <w:spacing w:after="0"/>
        <w:jc w:val="center"/>
        <w:rPr>
          <w:rFonts w:asciiTheme="minorHAnsi" w:hAnsiTheme="minorHAnsi" w:cs="Arial"/>
          <w:b/>
          <w:i/>
          <w:sz w:val="22"/>
          <w:szCs w:val="22"/>
        </w:rPr>
      </w:pPr>
    </w:p>
    <w:p w:rsidR="00034D29" w:rsidRDefault="00034D29" w:rsidP="00133005">
      <w:pPr>
        <w:pStyle w:val="BodyDHS"/>
        <w:numPr>
          <w:ilvl w:val="12"/>
          <w:numId w:val="0"/>
        </w:numPr>
        <w:spacing w:after="0"/>
        <w:jc w:val="center"/>
        <w:rPr>
          <w:rFonts w:asciiTheme="minorHAnsi" w:hAnsiTheme="minorHAnsi" w:cs="Arial"/>
          <w:b/>
          <w:i/>
          <w:sz w:val="22"/>
          <w:szCs w:val="22"/>
        </w:rPr>
      </w:pPr>
    </w:p>
    <w:p w:rsidR="00034D29" w:rsidRDefault="00034D29" w:rsidP="00133005">
      <w:pPr>
        <w:pStyle w:val="BodyDHS"/>
        <w:numPr>
          <w:ilvl w:val="12"/>
          <w:numId w:val="0"/>
        </w:numPr>
        <w:spacing w:after="0"/>
        <w:jc w:val="center"/>
        <w:rPr>
          <w:rFonts w:asciiTheme="minorHAnsi" w:hAnsiTheme="minorHAnsi" w:cs="Arial"/>
          <w:b/>
          <w:i/>
          <w:sz w:val="22"/>
          <w:szCs w:val="22"/>
        </w:rPr>
      </w:pPr>
    </w:p>
    <w:p w:rsidR="00034D29" w:rsidRDefault="00034D29" w:rsidP="00133005">
      <w:pPr>
        <w:pStyle w:val="BodyDHS"/>
        <w:numPr>
          <w:ilvl w:val="12"/>
          <w:numId w:val="0"/>
        </w:numPr>
        <w:spacing w:after="0"/>
        <w:jc w:val="center"/>
        <w:rPr>
          <w:rFonts w:asciiTheme="minorHAnsi" w:hAnsiTheme="minorHAnsi" w:cs="Arial"/>
          <w:b/>
          <w:i/>
          <w:sz w:val="22"/>
          <w:szCs w:val="22"/>
        </w:rPr>
      </w:pPr>
    </w:p>
    <w:p w:rsidR="00034D29" w:rsidRDefault="00034D29" w:rsidP="00133005">
      <w:pPr>
        <w:pStyle w:val="BodyDHS"/>
        <w:numPr>
          <w:ilvl w:val="12"/>
          <w:numId w:val="0"/>
        </w:numPr>
        <w:spacing w:after="0"/>
        <w:jc w:val="center"/>
        <w:rPr>
          <w:rFonts w:asciiTheme="minorHAnsi" w:hAnsiTheme="minorHAnsi" w:cs="Arial"/>
          <w:b/>
          <w:i/>
          <w:sz w:val="22"/>
          <w:szCs w:val="22"/>
        </w:rPr>
      </w:pPr>
    </w:p>
    <w:p w:rsidR="004827CF" w:rsidRPr="00133005" w:rsidRDefault="00330F32" w:rsidP="00133005">
      <w:pPr>
        <w:pStyle w:val="BodyDHS"/>
        <w:numPr>
          <w:ilvl w:val="12"/>
          <w:numId w:val="0"/>
        </w:numPr>
        <w:spacing w:after="0"/>
        <w:jc w:val="center"/>
        <w:rPr>
          <w:rFonts w:asciiTheme="minorHAnsi" w:hAnsiTheme="minorHAnsi" w:cs="Arial"/>
          <w:b/>
          <w:i/>
          <w:sz w:val="22"/>
          <w:szCs w:val="22"/>
        </w:rPr>
      </w:pPr>
      <w:r w:rsidRPr="00330F32">
        <w:rPr>
          <w:rFonts w:asciiTheme="minorHAnsi" w:hAnsiTheme="minorHAnsi" w:cs="Arial"/>
          <w:b/>
          <w:i/>
          <w:sz w:val="22"/>
          <w:szCs w:val="22"/>
        </w:rPr>
        <w:t>Please complete the details on the following page</w:t>
      </w:r>
      <w:r w:rsidR="004827CF">
        <w:rPr>
          <w:b/>
          <w:sz w:val="28"/>
          <w:szCs w:val="28"/>
          <w:lang w:val="en-US"/>
        </w:rPr>
        <w:br w:type="page"/>
      </w:r>
    </w:p>
    <w:p w:rsidR="00D76624" w:rsidRPr="0013365D" w:rsidRDefault="00D76624" w:rsidP="00D76624">
      <w:pPr>
        <w:spacing w:after="0"/>
        <w:jc w:val="both"/>
        <w:rPr>
          <w:b/>
          <w:sz w:val="28"/>
          <w:szCs w:val="28"/>
          <w:lang w:val="en-US"/>
        </w:rPr>
      </w:pPr>
      <w:r w:rsidRPr="0013365D">
        <w:rPr>
          <w:b/>
          <w:sz w:val="28"/>
          <w:szCs w:val="28"/>
          <w:lang w:val="en-US"/>
        </w:rPr>
        <w:lastRenderedPageBreak/>
        <w:t>Fee/invoicing details:</w:t>
      </w:r>
    </w:p>
    <w:p w:rsidR="00D76624" w:rsidRPr="00330F32" w:rsidRDefault="00D76624" w:rsidP="00D76624">
      <w:pPr>
        <w:spacing w:after="0"/>
        <w:rPr>
          <w:rFonts w:cs="Arial"/>
          <w:b/>
        </w:rPr>
      </w:pPr>
      <w:r w:rsidRPr="00EE7AC0">
        <w:rPr>
          <w:rFonts w:cs="Arial"/>
          <w:b/>
          <w:highlight w:val="yellow"/>
        </w:rPr>
        <w:t xml:space="preserve">(Please check the </w:t>
      </w:r>
      <w:r>
        <w:rPr>
          <w:rFonts w:cs="Arial"/>
          <w:b/>
          <w:highlight w:val="yellow"/>
        </w:rPr>
        <w:t>research agreement</w:t>
      </w:r>
      <w:r w:rsidRPr="00EE7AC0">
        <w:rPr>
          <w:rFonts w:cs="Arial"/>
          <w:b/>
          <w:highlight w:val="yellow"/>
        </w:rPr>
        <w:t xml:space="preserve"> if applicable</w:t>
      </w:r>
      <w:r>
        <w:rPr>
          <w:rFonts w:cs="Arial"/>
          <w:b/>
          <w:highlight w:val="yellow"/>
        </w:rPr>
        <w:t xml:space="preserve"> for invoicing details</w:t>
      </w:r>
      <w:r w:rsidRPr="00EE7AC0">
        <w:rPr>
          <w:rFonts w:cs="Arial"/>
          <w:b/>
          <w:highlight w:val="yellow"/>
        </w:rPr>
        <w:t>)</w:t>
      </w:r>
    </w:p>
    <w:p w:rsidR="00701E96" w:rsidRDefault="00701E96" w:rsidP="00701E96">
      <w:pPr>
        <w:spacing w:after="0"/>
        <w:rPr>
          <w:b/>
          <w:sz w:val="24"/>
          <w:szCs w:val="24"/>
          <w:lang w:val="en-US"/>
        </w:rPr>
      </w:pPr>
    </w:p>
    <w:p w:rsidR="00701E96" w:rsidRDefault="00701E96" w:rsidP="00701E96">
      <w:pPr>
        <w:pStyle w:val="BodyDHS"/>
        <w:numPr>
          <w:ilvl w:val="12"/>
          <w:numId w:val="0"/>
        </w:numPr>
        <w:spacing w:after="0"/>
        <w:rPr>
          <w:rFonts w:asciiTheme="minorHAnsi" w:hAnsiTheme="minorHAnsi" w:cs="Arial"/>
          <w:b/>
          <w:sz w:val="24"/>
          <w:szCs w:val="24"/>
        </w:rPr>
      </w:pPr>
      <w:r w:rsidRPr="00F44B65">
        <w:rPr>
          <w:rFonts w:asciiTheme="minorHAnsi" w:hAnsiTheme="minorHAnsi" w:cs="Arial"/>
          <w:b/>
          <w:sz w:val="24"/>
          <w:szCs w:val="24"/>
        </w:rPr>
        <w:t>Total fee</w:t>
      </w:r>
      <w:r>
        <w:rPr>
          <w:rFonts w:asciiTheme="minorHAnsi" w:hAnsiTheme="minorHAnsi" w:cs="Arial"/>
          <w:b/>
          <w:sz w:val="24"/>
          <w:szCs w:val="24"/>
        </w:rPr>
        <w:tab/>
      </w:r>
      <w:r w:rsidRPr="00F44B65">
        <w:rPr>
          <w:rFonts w:asciiTheme="minorHAnsi" w:hAnsiTheme="minorHAnsi" w:cs="Arial"/>
          <w:b/>
          <w:sz w:val="24"/>
          <w:szCs w:val="24"/>
          <w:u w:val="single"/>
        </w:rPr>
        <w:tab/>
      </w:r>
      <w:r w:rsidRPr="00F44B65">
        <w:rPr>
          <w:rFonts w:asciiTheme="minorHAnsi" w:hAnsiTheme="minorHAnsi" w:cs="Arial"/>
          <w:b/>
          <w:sz w:val="24"/>
          <w:szCs w:val="24"/>
          <w:u w:val="single"/>
        </w:rPr>
        <w:tab/>
      </w:r>
    </w:p>
    <w:p w:rsidR="00701E96" w:rsidRPr="00330F32" w:rsidRDefault="00701E96" w:rsidP="00701E96">
      <w:pPr>
        <w:pStyle w:val="BodyDHS"/>
        <w:numPr>
          <w:ilvl w:val="12"/>
          <w:numId w:val="0"/>
        </w:numPr>
        <w:spacing w:after="0"/>
        <w:rPr>
          <w:rFonts w:asciiTheme="minorHAnsi" w:hAnsiTheme="minorHAnsi" w:cs="Arial"/>
          <w:sz w:val="22"/>
          <w:szCs w:val="22"/>
        </w:rPr>
      </w:pPr>
    </w:p>
    <w:p w:rsidR="00701E96" w:rsidRPr="00330F32" w:rsidRDefault="00701E96" w:rsidP="00701E96">
      <w:pPr>
        <w:spacing w:after="0"/>
        <w:rPr>
          <w:rFonts w:cs="Arial"/>
        </w:rPr>
      </w:pPr>
      <w:r w:rsidRPr="00330F32">
        <w:rPr>
          <w:rFonts w:cs="Arial"/>
          <w:b/>
        </w:rPr>
        <w:t>Please provide details for invoicing purposes:</w:t>
      </w:r>
    </w:p>
    <w:tbl>
      <w:tblPr>
        <w:tblW w:w="927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0"/>
        <w:gridCol w:w="5305"/>
      </w:tblGrid>
      <w:tr w:rsidR="00701E96" w:rsidRPr="00330F32" w:rsidTr="002D7A55">
        <w:trPr>
          <w:trHeight w:val="378"/>
        </w:trPr>
        <w:tc>
          <w:tcPr>
            <w:tcW w:w="3970" w:type="dxa"/>
          </w:tcPr>
          <w:p w:rsidR="00701E96" w:rsidRPr="00330F32" w:rsidRDefault="00701E96" w:rsidP="00D87341">
            <w:pPr>
              <w:pStyle w:val="BodyDHS"/>
              <w:spacing w:after="0"/>
              <w:rPr>
                <w:rFonts w:asciiTheme="minorHAnsi" w:hAnsiTheme="minorHAnsi" w:cs="Arial"/>
                <w:sz w:val="22"/>
                <w:szCs w:val="22"/>
              </w:rPr>
            </w:pPr>
            <w:r w:rsidRPr="00330F32">
              <w:rPr>
                <w:rFonts w:asciiTheme="minorHAnsi" w:hAnsiTheme="minorHAnsi" w:cs="Arial"/>
                <w:sz w:val="22"/>
                <w:szCs w:val="22"/>
              </w:rPr>
              <w:t>Name of sponsor</w:t>
            </w:r>
            <w:r>
              <w:rPr>
                <w:rFonts w:asciiTheme="minorHAnsi" w:hAnsiTheme="minorHAnsi" w:cs="Arial"/>
                <w:sz w:val="22"/>
                <w:szCs w:val="22"/>
              </w:rPr>
              <w:t>/CRO</w:t>
            </w:r>
            <w:r w:rsidRPr="00330F32">
              <w:rPr>
                <w:rFonts w:asciiTheme="minorHAnsi" w:hAnsiTheme="minorHAnsi" w:cs="Arial"/>
                <w:sz w:val="22"/>
                <w:szCs w:val="22"/>
              </w:rPr>
              <w:t>/institution</w:t>
            </w:r>
            <w:r w:rsidR="00133005">
              <w:rPr>
                <w:rFonts w:asciiTheme="minorHAnsi" w:hAnsiTheme="minorHAnsi" w:cs="Arial"/>
                <w:sz w:val="22"/>
                <w:szCs w:val="22"/>
              </w:rPr>
              <w:t xml:space="preserve"> responsible for this payment</w:t>
            </w:r>
          </w:p>
        </w:tc>
        <w:tc>
          <w:tcPr>
            <w:tcW w:w="5305" w:type="dxa"/>
          </w:tcPr>
          <w:p w:rsidR="00701E96" w:rsidRPr="00330F32" w:rsidRDefault="00701E96" w:rsidP="00D87341">
            <w:pPr>
              <w:pStyle w:val="BodyDHS"/>
              <w:spacing w:after="0"/>
              <w:rPr>
                <w:rFonts w:asciiTheme="minorHAnsi" w:hAnsiTheme="minorHAnsi" w:cs="Arial"/>
                <w:sz w:val="22"/>
                <w:szCs w:val="22"/>
              </w:rPr>
            </w:pPr>
          </w:p>
        </w:tc>
      </w:tr>
      <w:tr w:rsidR="00701E96" w:rsidRPr="00330F32" w:rsidTr="002D7A55">
        <w:trPr>
          <w:trHeight w:val="378"/>
        </w:trPr>
        <w:tc>
          <w:tcPr>
            <w:tcW w:w="3970" w:type="dxa"/>
          </w:tcPr>
          <w:p w:rsidR="00701E96" w:rsidRPr="00330F32" w:rsidRDefault="00701E96" w:rsidP="00D87341">
            <w:pPr>
              <w:pStyle w:val="BodyDHS"/>
              <w:spacing w:after="0"/>
              <w:rPr>
                <w:rFonts w:asciiTheme="minorHAnsi" w:hAnsiTheme="minorHAnsi" w:cs="Arial"/>
                <w:sz w:val="22"/>
                <w:szCs w:val="22"/>
              </w:rPr>
            </w:pPr>
            <w:r>
              <w:rPr>
                <w:rFonts w:asciiTheme="minorHAnsi" w:hAnsiTheme="minorHAnsi" w:cs="Arial"/>
                <w:sz w:val="22"/>
                <w:szCs w:val="22"/>
              </w:rPr>
              <w:t>Company ABN</w:t>
            </w:r>
          </w:p>
        </w:tc>
        <w:tc>
          <w:tcPr>
            <w:tcW w:w="5305" w:type="dxa"/>
          </w:tcPr>
          <w:p w:rsidR="00701E96" w:rsidRPr="00330F32" w:rsidRDefault="00701E96" w:rsidP="00D87341">
            <w:pPr>
              <w:pStyle w:val="BodyDHS"/>
              <w:spacing w:after="0"/>
              <w:rPr>
                <w:rFonts w:asciiTheme="minorHAnsi" w:hAnsiTheme="minorHAnsi" w:cs="Arial"/>
                <w:sz w:val="22"/>
                <w:szCs w:val="22"/>
              </w:rPr>
            </w:pPr>
          </w:p>
        </w:tc>
      </w:tr>
      <w:tr w:rsidR="00701E96" w:rsidRPr="00330F32" w:rsidTr="002D7A55">
        <w:trPr>
          <w:trHeight w:val="378"/>
        </w:trPr>
        <w:tc>
          <w:tcPr>
            <w:tcW w:w="3970" w:type="dxa"/>
          </w:tcPr>
          <w:p w:rsidR="00701E96" w:rsidRPr="00330F32" w:rsidRDefault="00701E96" w:rsidP="00D87341">
            <w:pPr>
              <w:pStyle w:val="BodyDHS"/>
              <w:spacing w:after="0"/>
              <w:rPr>
                <w:rFonts w:asciiTheme="minorHAnsi" w:hAnsiTheme="minorHAnsi" w:cs="Arial"/>
                <w:sz w:val="22"/>
                <w:szCs w:val="22"/>
              </w:rPr>
            </w:pPr>
            <w:r w:rsidRPr="00330F32">
              <w:rPr>
                <w:rFonts w:asciiTheme="minorHAnsi" w:hAnsiTheme="minorHAnsi" w:cs="Arial"/>
                <w:sz w:val="22"/>
                <w:szCs w:val="22"/>
              </w:rPr>
              <w:t>Contact person’s name</w:t>
            </w:r>
          </w:p>
        </w:tc>
        <w:tc>
          <w:tcPr>
            <w:tcW w:w="5305" w:type="dxa"/>
          </w:tcPr>
          <w:p w:rsidR="00701E96" w:rsidRPr="00330F32" w:rsidRDefault="00701E96" w:rsidP="00D87341">
            <w:pPr>
              <w:pStyle w:val="BodyDHS"/>
              <w:spacing w:after="0"/>
              <w:rPr>
                <w:rFonts w:asciiTheme="minorHAnsi" w:hAnsiTheme="minorHAnsi" w:cs="Arial"/>
                <w:sz w:val="22"/>
                <w:szCs w:val="22"/>
              </w:rPr>
            </w:pPr>
          </w:p>
        </w:tc>
      </w:tr>
      <w:tr w:rsidR="00701E96" w:rsidRPr="00330F32" w:rsidTr="002D7A55">
        <w:trPr>
          <w:trHeight w:val="378"/>
        </w:trPr>
        <w:tc>
          <w:tcPr>
            <w:tcW w:w="3970" w:type="dxa"/>
          </w:tcPr>
          <w:p w:rsidR="00701E96" w:rsidRPr="00330F32" w:rsidRDefault="00701E96" w:rsidP="00D87341">
            <w:pPr>
              <w:pStyle w:val="BodyDHS"/>
              <w:spacing w:after="0"/>
              <w:rPr>
                <w:rFonts w:asciiTheme="minorHAnsi" w:hAnsiTheme="minorHAnsi" w:cs="Arial"/>
                <w:sz w:val="22"/>
                <w:szCs w:val="22"/>
              </w:rPr>
            </w:pPr>
            <w:r w:rsidRPr="00330F32">
              <w:rPr>
                <w:rFonts w:asciiTheme="minorHAnsi" w:hAnsiTheme="minorHAnsi" w:cs="Arial"/>
                <w:sz w:val="22"/>
                <w:szCs w:val="22"/>
              </w:rPr>
              <w:t>Position</w:t>
            </w:r>
          </w:p>
        </w:tc>
        <w:tc>
          <w:tcPr>
            <w:tcW w:w="5305" w:type="dxa"/>
          </w:tcPr>
          <w:p w:rsidR="00701E96" w:rsidRPr="00330F32" w:rsidRDefault="00701E96" w:rsidP="00D87341">
            <w:pPr>
              <w:pStyle w:val="BodyDHS"/>
              <w:spacing w:after="0"/>
              <w:rPr>
                <w:rFonts w:asciiTheme="minorHAnsi" w:hAnsiTheme="minorHAnsi" w:cs="Arial"/>
                <w:sz w:val="22"/>
                <w:szCs w:val="22"/>
              </w:rPr>
            </w:pPr>
          </w:p>
        </w:tc>
      </w:tr>
      <w:tr w:rsidR="00701E96" w:rsidRPr="00330F32" w:rsidTr="002D7A55">
        <w:trPr>
          <w:trHeight w:val="378"/>
        </w:trPr>
        <w:tc>
          <w:tcPr>
            <w:tcW w:w="3970" w:type="dxa"/>
          </w:tcPr>
          <w:p w:rsidR="00701E96" w:rsidRPr="00330F32" w:rsidRDefault="00701E96" w:rsidP="00D87341">
            <w:pPr>
              <w:pStyle w:val="BodyDHS"/>
              <w:spacing w:after="0"/>
              <w:rPr>
                <w:rFonts w:asciiTheme="minorHAnsi" w:hAnsiTheme="minorHAnsi" w:cs="Arial"/>
                <w:sz w:val="22"/>
                <w:szCs w:val="22"/>
              </w:rPr>
            </w:pPr>
            <w:r>
              <w:rPr>
                <w:rFonts w:asciiTheme="minorHAnsi" w:hAnsiTheme="minorHAnsi" w:cs="Arial"/>
                <w:sz w:val="22"/>
                <w:szCs w:val="22"/>
              </w:rPr>
              <w:t>Email &amp; phone number</w:t>
            </w:r>
          </w:p>
        </w:tc>
        <w:tc>
          <w:tcPr>
            <w:tcW w:w="5305" w:type="dxa"/>
          </w:tcPr>
          <w:p w:rsidR="00701E96" w:rsidRPr="00330F32" w:rsidRDefault="00701E96" w:rsidP="00D87341">
            <w:pPr>
              <w:pStyle w:val="BodyDHS"/>
              <w:spacing w:after="0"/>
              <w:rPr>
                <w:rFonts w:asciiTheme="minorHAnsi" w:hAnsiTheme="minorHAnsi" w:cs="Arial"/>
                <w:sz w:val="22"/>
                <w:szCs w:val="22"/>
              </w:rPr>
            </w:pPr>
          </w:p>
        </w:tc>
      </w:tr>
      <w:tr w:rsidR="00701E96" w:rsidRPr="00330F32" w:rsidTr="002D7A55">
        <w:trPr>
          <w:trHeight w:val="370"/>
        </w:trPr>
        <w:tc>
          <w:tcPr>
            <w:tcW w:w="3970" w:type="dxa"/>
          </w:tcPr>
          <w:p w:rsidR="00701E96" w:rsidRPr="00330F32" w:rsidRDefault="00701E96" w:rsidP="00D87341">
            <w:pPr>
              <w:pStyle w:val="BodyDHS"/>
              <w:spacing w:after="0"/>
              <w:rPr>
                <w:rFonts w:asciiTheme="minorHAnsi" w:hAnsiTheme="minorHAnsi" w:cs="Arial"/>
                <w:sz w:val="22"/>
                <w:szCs w:val="22"/>
              </w:rPr>
            </w:pPr>
            <w:r w:rsidRPr="00330F32">
              <w:rPr>
                <w:rFonts w:asciiTheme="minorHAnsi" w:hAnsiTheme="minorHAnsi" w:cs="Arial"/>
                <w:sz w:val="22"/>
                <w:szCs w:val="22"/>
              </w:rPr>
              <w:t>Mailing address</w:t>
            </w:r>
          </w:p>
        </w:tc>
        <w:tc>
          <w:tcPr>
            <w:tcW w:w="5305" w:type="dxa"/>
          </w:tcPr>
          <w:p w:rsidR="00701E96" w:rsidRPr="00330F32" w:rsidRDefault="00701E96" w:rsidP="00D87341">
            <w:pPr>
              <w:pStyle w:val="BodyDHS"/>
              <w:spacing w:after="0"/>
              <w:rPr>
                <w:rFonts w:asciiTheme="minorHAnsi" w:hAnsiTheme="minorHAnsi" w:cs="Arial"/>
                <w:sz w:val="22"/>
                <w:szCs w:val="22"/>
              </w:rPr>
            </w:pPr>
          </w:p>
        </w:tc>
      </w:tr>
      <w:tr w:rsidR="00701E96" w:rsidRPr="00330F32" w:rsidTr="002D7A55">
        <w:trPr>
          <w:trHeight w:val="370"/>
        </w:trPr>
        <w:tc>
          <w:tcPr>
            <w:tcW w:w="3970" w:type="dxa"/>
          </w:tcPr>
          <w:p w:rsidR="002D7A55" w:rsidRDefault="002D7A55" w:rsidP="002D7A55">
            <w:pPr>
              <w:pStyle w:val="BodyDHS"/>
              <w:spacing w:after="0"/>
              <w:rPr>
                <w:rFonts w:asciiTheme="minorHAnsi" w:hAnsiTheme="minorHAnsi" w:cs="Arial"/>
                <w:sz w:val="22"/>
                <w:szCs w:val="22"/>
              </w:rPr>
            </w:pPr>
            <w:r>
              <w:rPr>
                <w:rFonts w:asciiTheme="minorHAnsi" w:hAnsiTheme="minorHAnsi" w:cs="Arial"/>
                <w:i/>
                <w:sz w:val="22"/>
                <w:szCs w:val="22"/>
              </w:rPr>
              <w:t xml:space="preserve">Mandatory </w:t>
            </w:r>
            <w:r w:rsidRPr="004753D3">
              <w:rPr>
                <w:rFonts w:asciiTheme="minorHAnsi" w:hAnsiTheme="minorHAnsi" w:cs="Arial"/>
                <w:i/>
                <w:sz w:val="22"/>
                <w:szCs w:val="22"/>
              </w:rPr>
              <w:t>For Monash University studies:</w:t>
            </w:r>
            <w:r>
              <w:rPr>
                <w:rFonts w:asciiTheme="minorHAnsi" w:hAnsiTheme="minorHAnsi" w:cs="Arial"/>
                <w:sz w:val="22"/>
                <w:szCs w:val="22"/>
              </w:rPr>
              <w:t xml:space="preserve"> Purchase Order Number, </w:t>
            </w:r>
          </w:p>
          <w:p w:rsidR="00701E96" w:rsidRPr="00330F32" w:rsidRDefault="002D7A55" w:rsidP="002D7A55">
            <w:pPr>
              <w:pStyle w:val="BodyDHS"/>
              <w:spacing w:after="0"/>
              <w:rPr>
                <w:rFonts w:asciiTheme="minorHAnsi" w:hAnsiTheme="minorHAnsi" w:cs="Arial"/>
                <w:sz w:val="22"/>
                <w:szCs w:val="22"/>
              </w:rPr>
            </w:pPr>
            <w:r>
              <w:rPr>
                <w:rFonts w:asciiTheme="minorHAnsi" w:hAnsiTheme="minorHAnsi" w:cs="Arial"/>
                <w:sz w:val="22"/>
                <w:szCs w:val="22"/>
              </w:rPr>
              <w:t>Cost centre and Fund number</w:t>
            </w:r>
          </w:p>
        </w:tc>
        <w:tc>
          <w:tcPr>
            <w:tcW w:w="5305" w:type="dxa"/>
          </w:tcPr>
          <w:p w:rsidR="00701E96" w:rsidRPr="00330F32" w:rsidRDefault="00701E96" w:rsidP="00D87341">
            <w:pPr>
              <w:pStyle w:val="BodyDHS"/>
              <w:spacing w:after="0"/>
              <w:rPr>
                <w:rFonts w:asciiTheme="minorHAnsi" w:hAnsiTheme="minorHAnsi" w:cs="Arial"/>
                <w:sz w:val="22"/>
                <w:szCs w:val="22"/>
              </w:rPr>
            </w:pPr>
          </w:p>
        </w:tc>
      </w:tr>
      <w:tr w:rsidR="00701E96" w:rsidRPr="00330F32" w:rsidTr="002D7A55">
        <w:trPr>
          <w:trHeight w:val="370"/>
        </w:trPr>
        <w:tc>
          <w:tcPr>
            <w:tcW w:w="3970" w:type="dxa"/>
          </w:tcPr>
          <w:p w:rsidR="00701E96" w:rsidRDefault="00701E96" w:rsidP="00D87341">
            <w:pPr>
              <w:pStyle w:val="BodyDHS"/>
              <w:spacing w:after="0"/>
              <w:rPr>
                <w:rFonts w:asciiTheme="minorHAnsi" w:hAnsiTheme="minorHAnsi" w:cs="Arial"/>
                <w:i/>
                <w:sz w:val="22"/>
                <w:szCs w:val="22"/>
              </w:rPr>
            </w:pPr>
            <w:r>
              <w:rPr>
                <w:rFonts w:asciiTheme="minorHAnsi" w:hAnsiTheme="minorHAnsi" w:cs="Arial"/>
                <w:i/>
                <w:sz w:val="22"/>
                <w:szCs w:val="22"/>
              </w:rPr>
              <w:t>If required</w:t>
            </w:r>
            <w:r w:rsidR="00122F4A">
              <w:rPr>
                <w:rFonts w:asciiTheme="minorHAnsi" w:hAnsiTheme="minorHAnsi" w:cs="Arial"/>
                <w:i/>
                <w:sz w:val="22"/>
                <w:szCs w:val="22"/>
              </w:rPr>
              <w:t xml:space="preserve"> for invoicing</w:t>
            </w:r>
            <w:r>
              <w:rPr>
                <w:rFonts w:asciiTheme="minorHAnsi" w:hAnsiTheme="minorHAnsi" w:cs="Arial"/>
                <w:i/>
                <w:sz w:val="22"/>
                <w:szCs w:val="22"/>
              </w:rPr>
              <w:t xml:space="preserve">: </w:t>
            </w:r>
          </w:p>
          <w:p w:rsidR="00701E96" w:rsidRDefault="00701E96" w:rsidP="00D87341">
            <w:pPr>
              <w:pStyle w:val="BodyDHS"/>
              <w:spacing w:after="0"/>
              <w:rPr>
                <w:rFonts w:asciiTheme="minorHAnsi" w:hAnsiTheme="minorHAnsi" w:cs="Arial"/>
                <w:sz w:val="22"/>
                <w:szCs w:val="22"/>
              </w:rPr>
            </w:pPr>
            <w:r>
              <w:rPr>
                <w:rFonts w:asciiTheme="minorHAnsi" w:hAnsiTheme="minorHAnsi" w:cs="Arial"/>
                <w:sz w:val="22"/>
                <w:szCs w:val="22"/>
              </w:rPr>
              <w:t>Additional information to be in</w:t>
            </w:r>
            <w:r w:rsidR="002D7A55">
              <w:rPr>
                <w:rFonts w:asciiTheme="minorHAnsi" w:hAnsiTheme="minorHAnsi" w:cs="Arial"/>
                <w:sz w:val="22"/>
                <w:szCs w:val="22"/>
              </w:rPr>
              <w:t>cluded on the invoice (</w:t>
            </w:r>
            <w:proofErr w:type="spellStart"/>
            <w:r w:rsidR="002D7A55">
              <w:rPr>
                <w:rFonts w:asciiTheme="minorHAnsi" w:hAnsiTheme="minorHAnsi" w:cs="Arial"/>
                <w:sz w:val="22"/>
                <w:szCs w:val="22"/>
              </w:rPr>
              <w:t>eg</w:t>
            </w:r>
            <w:proofErr w:type="spellEnd"/>
            <w:r w:rsidR="002D7A55">
              <w:rPr>
                <w:rFonts w:asciiTheme="minorHAnsi" w:hAnsiTheme="minorHAnsi" w:cs="Arial"/>
                <w:sz w:val="22"/>
                <w:szCs w:val="22"/>
              </w:rPr>
              <w:t xml:space="preserve"> </w:t>
            </w:r>
            <w:r>
              <w:rPr>
                <w:rFonts w:asciiTheme="minorHAnsi" w:hAnsiTheme="minorHAnsi" w:cs="Arial"/>
                <w:sz w:val="22"/>
                <w:szCs w:val="22"/>
              </w:rPr>
              <w:t xml:space="preserve">site number, PI, </w:t>
            </w:r>
            <w:proofErr w:type="spellStart"/>
            <w:r>
              <w:rPr>
                <w:rFonts w:asciiTheme="minorHAnsi" w:hAnsiTheme="minorHAnsi" w:cs="Arial"/>
                <w:sz w:val="22"/>
                <w:szCs w:val="22"/>
              </w:rPr>
              <w:t>etc</w:t>
            </w:r>
            <w:proofErr w:type="spellEnd"/>
            <w:r>
              <w:rPr>
                <w:rFonts w:asciiTheme="minorHAnsi" w:hAnsiTheme="minorHAnsi" w:cs="Arial"/>
                <w:sz w:val="22"/>
                <w:szCs w:val="22"/>
              </w:rPr>
              <w:t xml:space="preserve">) </w:t>
            </w:r>
          </w:p>
          <w:p w:rsidR="00701E96" w:rsidRPr="00330F32" w:rsidRDefault="00701E96" w:rsidP="00D87341">
            <w:pPr>
              <w:pStyle w:val="BodyDHS"/>
              <w:spacing w:after="0"/>
              <w:rPr>
                <w:rFonts w:asciiTheme="minorHAnsi" w:hAnsiTheme="minorHAnsi" w:cs="Arial"/>
                <w:sz w:val="22"/>
                <w:szCs w:val="22"/>
              </w:rPr>
            </w:pPr>
            <w:r>
              <w:rPr>
                <w:rFonts w:asciiTheme="minorHAnsi" w:hAnsiTheme="minorHAnsi" w:cs="Arial"/>
                <w:b/>
                <w:sz w:val="22"/>
                <w:szCs w:val="22"/>
              </w:rPr>
              <w:t>Please check CTRA if applicable.</w:t>
            </w:r>
          </w:p>
        </w:tc>
        <w:tc>
          <w:tcPr>
            <w:tcW w:w="5305" w:type="dxa"/>
          </w:tcPr>
          <w:p w:rsidR="00701E96" w:rsidRPr="00330F32" w:rsidRDefault="00701E96" w:rsidP="00D87341">
            <w:pPr>
              <w:pStyle w:val="BodyDHS"/>
              <w:spacing w:after="0"/>
              <w:rPr>
                <w:rFonts w:asciiTheme="minorHAnsi" w:hAnsiTheme="minorHAnsi" w:cs="Arial"/>
                <w:sz w:val="22"/>
                <w:szCs w:val="22"/>
              </w:rPr>
            </w:pPr>
          </w:p>
        </w:tc>
      </w:tr>
    </w:tbl>
    <w:p w:rsidR="00701E96" w:rsidRPr="00330F32" w:rsidRDefault="002D7A55" w:rsidP="00701E96">
      <w:pPr>
        <w:spacing w:after="0"/>
        <w:rPr>
          <w:rFonts w:cs="Arial"/>
          <w:i/>
          <w:sz w:val="20"/>
          <w:szCs w:val="20"/>
        </w:rPr>
      </w:pPr>
      <w:r>
        <w:rPr>
          <w:rFonts w:cs="Arial"/>
          <w:i/>
          <w:sz w:val="20"/>
          <w:szCs w:val="20"/>
        </w:rPr>
        <w:t>Invoices will be sent</w:t>
      </w:r>
      <w:r w:rsidRPr="00330F32">
        <w:rPr>
          <w:rFonts w:cs="Arial"/>
          <w:i/>
          <w:sz w:val="20"/>
          <w:szCs w:val="20"/>
        </w:rPr>
        <w:t xml:space="preserve"> to the sponsor/institution by The Alfred</w:t>
      </w:r>
      <w:r>
        <w:rPr>
          <w:rFonts w:cs="Arial"/>
          <w:i/>
          <w:sz w:val="20"/>
          <w:szCs w:val="20"/>
        </w:rPr>
        <w:t xml:space="preserve"> or Monash University Finance</w:t>
      </w:r>
      <w:r w:rsidRPr="00330F32">
        <w:rPr>
          <w:rFonts w:cs="Arial"/>
          <w:i/>
          <w:sz w:val="20"/>
          <w:szCs w:val="20"/>
        </w:rPr>
        <w:t>.</w:t>
      </w:r>
    </w:p>
    <w:p w:rsidR="00701E96" w:rsidRPr="00330F32" w:rsidRDefault="00701E96" w:rsidP="00701E96">
      <w:pPr>
        <w:spacing w:after="0"/>
        <w:rPr>
          <w:rFonts w:cs="Arial"/>
        </w:rPr>
      </w:pPr>
    </w:p>
    <w:p w:rsidR="002D7A55" w:rsidRPr="0006372D" w:rsidRDefault="002D7A55" w:rsidP="002D7A55">
      <w:pPr>
        <w:spacing w:after="0"/>
        <w:rPr>
          <w:rFonts w:cs="Arial"/>
          <w:b/>
          <w:sz w:val="32"/>
          <w:szCs w:val="32"/>
        </w:rPr>
      </w:pPr>
      <w:r w:rsidRPr="0006372D">
        <w:rPr>
          <w:rFonts w:cs="Arial"/>
          <w:b/>
          <w:sz w:val="32"/>
          <w:szCs w:val="32"/>
        </w:rPr>
        <w:t>OR</w:t>
      </w:r>
    </w:p>
    <w:p w:rsidR="00701E96" w:rsidRDefault="00701E96" w:rsidP="00701E96">
      <w:pPr>
        <w:spacing w:after="0"/>
        <w:rPr>
          <w:rFonts w:cs="Arial"/>
          <w:b/>
        </w:rPr>
      </w:pPr>
    </w:p>
    <w:p w:rsidR="00701E96" w:rsidRPr="008C326F" w:rsidRDefault="00701E96" w:rsidP="00701E96">
      <w:pPr>
        <w:spacing w:after="0"/>
        <w:rPr>
          <w:rFonts w:cs="Arial"/>
          <w:b/>
        </w:rPr>
      </w:pPr>
      <w:r w:rsidRPr="00330F32">
        <w:rPr>
          <w:rFonts w:cs="Arial"/>
          <w:b/>
        </w:rPr>
        <w:t>Please provide details if payment is to be made by internal transfer (ICAN):</w:t>
      </w:r>
    </w:p>
    <w:tbl>
      <w:tblPr>
        <w:tblW w:w="927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0"/>
        <w:gridCol w:w="5305"/>
      </w:tblGrid>
      <w:tr w:rsidR="00701E96" w:rsidRPr="00330F32" w:rsidTr="002D7A55">
        <w:trPr>
          <w:trHeight w:val="378"/>
        </w:trPr>
        <w:tc>
          <w:tcPr>
            <w:tcW w:w="3970" w:type="dxa"/>
          </w:tcPr>
          <w:p w:rsidR="00701E96" w:rsidRPr="00330F32" w:rsidRDefault="00701E96" w:rsidP="00D87341">
            <w:pPr>
              <w:pStyle w:val="BodyDHS"/>
              <w:spacing w:after="0"/>
              <w:rPr>
                <w:rFonts w:asciiTheme="minorHAnsi" w:hAnsiTheme="minorHAnsi" w:cs="Arial"/>
                <w:sz w:val="22"/>
                <w:szCs w:val="22"/>
              </w:rPr>
            </w:pPr>
            <w:r w:rsidRPr="00330F32">
              <w:rPr>
                <w:rFonts w:asciiTheme="minorHAnsi" w:hAnsiTheme="minorHAnsi" w:cs="Arial"/>
                <w:sz w:val="22"/>
                <w:szCs w:val="22"/>
              </w:rPr>
              <w:t>Cost Centre Name</w:t>
            </w:r>
          </w:p>
        </w:tc>
        <w:tc>
          <w:tcPr>
            <w:tcW w:w="5305" w:type="dxa"/>
          </w:tcPr>
          <w:p w:rsidR="00701E96" w:rsidRPr="00330F32" w:rsidRDefault="00701E96" w:rsidP="00D87341">
            <w:pPr>
              <w:pStyle w:val="BodyDHS"/>
              <w:spacing w:after="0"/>
              <w:rPr>
                <w:rFonts w:asciiTheme="minorHAnsi" w:hAnsiTheme="minorHAnsi" w:cs="Arial"/>
                <w:sz w:val="22"/>
                <w:szCs w:val="22"/>
              </w:rPr>
            </w:pPr>
          </w:p>
        </w:tc>
      </w:tr>
      <w:tr w:rsidR="00701E96" w:rsidRPr="00330F32" w:rsidTr="002D7A55">
        <w:trPr>
          <w:trHeight w:val="378"/>
        </w:trPr>
        <w:tc>
          <w:tcPr>
            <w:tcW w:w="3970" w:type="dxa"/>
          </w:tcPr>
          <w:p w:rsidR="00701E96" w:rsidRPr="00330F32" w:rsidRDefault="00701E96" w:rsidP="00D87341">
            <w:pPr>
              <w:pStyle w:val="BodyDHS"/>
              <w:spacing w:after="0"/>
              <w:rPr>
                <w:rFonts w:asciiTheme="minorHAnsi" w:hAnsiTheme="minorHAnsi" w:cs="Arial"/>
                <w:sz w:val="22"/>
                <w:szCs w:val="22"/>
              </w:rPr>
            </w:pPr>
            <w:r w:rsidRPr="00330F32">
              <w:rPr>
                <w:rFonts w:asciiTheme="minorHAnsi" w:hAnsiTheme="minorHAnsi" w:cs="Arial"/>
                <w:sz w:val="22"/>
                <w:szCs w:val="22"/>
              </w:rPr>
              <w:t>Cost Centre Manager</w:t>
            </w:r>
          </w:p>
        </w:tc>
        <w:tc>
          <w:tcPr>
            <w:tcW w:w="5305" w:type="dxa"/>
          </w:tcPr>
          <w:p w:rsidR="00701E96" w:rsidRPr="00330F32" w:rsidRDefault="00701E96" w:rsidP="00D87341">
            <w:pPr>
              <w:pStyle w:val="BodyDHS"/>
              <w:spacing w:after="0"/>
              <w:rPr>
                <w:rFonts w:asciiTheme="minorHAnsi" w:hAnsiTheme="minorHAnsi" w:cs="Arial"/>
                <w:sz w:val="22"/>
                <w:szCs w:val="22"/>
              </w:rPr>
            </w:pPr>
          </w:p>
        </w:tc>
      </w:tr>
      <w:tr w:rsidR="00701E96" w:rsidRPr="00330F32" w:rsidTr="002D7A55">
        <w:trPr>
          <w:trHeight w:val="378"/>
        </w:trPr>
        <w:tc>
          <w:tcPr>
            <w:tcW w:w="3970" w:type="dxa"/>
          </w:tcPr>
          <w:p w:rsidR="00701E96" w:rsidRPr="00330F32" w:rsidRDefault="00701E96" w:rsidP="00D87341">
            <w:pPr>
              <w:pStyle w:val="BodyDHS"/>
              <w:spacing w:after="0"/>
              <w:rPr>
                <w:rFonts w:asciiTheme="minorHAnsi" w:hAnsiTheme="minorHAnsi" w:cs="Arial"/>
                <w:sz w:val="22"/>
                <w:szCs w:val="22"/>
              </w:rPr>
            </w:pPr>
            <w:r w:rsidRPr="00330F32">
              <w:rPr>
                <w:rFonts w:asciiTheme="minorHAnsi" w:hAnsiTheme="minorHAnsi" w:cs="Arial"/>
                <w:sz w:val="22"/>
                <w:szCs w:val="22"/>
              </w:rPr>
              <w:t>Cost Centre Number</w:t>
            </w:r>
          </w:p>
        </w:tc>
        <w:tc>
          <w:tcPr>
            <w:tcW w:w="5305" w:type="dxa"/>
          </w:tcPr>
          <w:p w:rsidR="00701E96" w:rsidRPr="00330F32" w:rsidRDefault="00701E96" w:rsidP="00D87341">
            <w:pPr>
              <w:pStyle w:val="BodyDHS"/>
              <w:spacing w:after="0"/>
              <w:rPr>
                <w:rFonts w:asciiTheme="minorHAnsi" w:hAnsiTheme="minorHAnsi" w:cs="Arial"/>
                <w:sz w:val="22"/>
                <w:szCs w:val="22"/>
              </w:rPr>
            </w:pPr>
          </w:p>
        </w:tc>
      </w:tr>
    </w:tbl>
    <w:p w:rsidR="002D7A55" w:rsidRPr="00330F32" w:rsidRDefault="002D7A55" w:rsidP="002D7A55">
      <w:pPr>
        <w:spacing w:after="0"/>
        <w:rPr>
          <w:rFonts w:cs="Arial"/>
          <w:i/>
          <w:sz w:val="20"/>
          <w:szCs w:val="20"/>
        </w:rPr>
      </w:pPr>
      <w:r>
        <w:rPr>
          <w:rFonts w:cs="Arial"/>
          <w:i/>
          <w:sz w:val="20"/>
          <w:szCs w:val="20"/>
        </w:rPr>
        <w:t xml:space="preserve">Signed </w:t>
      </w:r>
      <w:r w:rsidRPr="00330F32">
        <w:rPr>
          <w:rFonts w:cs="Arial"/>
          <w:i/>
          <w:sz w:val="20"/>
          <w:szCs w:val="20"/>
        </w:rPr>
        <w:t>ICANs will be sent</w:t>
      </w:r>
      <w:r>
        <w:rPr>
          <w:rFonts w:cs="Arial"/>
          <w:i/>
          <w:sz w:val="20"/>
          <w:szCs w:val="20"/>
        </w:rPr>
        <w:t xml:space="preserve"> to Alfred Finance by the Office of </w:t>
      </w:r>
      <w:r w:rsidRPr="00330F32">
        <w:rPr>
          <w:rFonts w:cs="Arial"/>
          <w:i/>
          <w:sz w:val="20"/>
          <w:szCs w:val="20"/>
        </w:rPr>
        <w:t>Ethics &amp; Research Governance.</w:t>
      </w:r>
    </w:p>
    <w:p w:rsidR="00701E96" w:rsidRDefault="00701E96" w:rsidP="00701E96">
      <w:pPr>
        <w:pStyle w:val="BodyDHS"/>
        <w:numPr>
          <w:ilvl w:val="12"/>
          <w:numId w:val="0"/>
        </w:numPr>
        <w:spacing w:after="0"/>
        <w:rPr>
          <w:b/>
          <w:sz w:val="24"/>
          <w:szCs w:val="24"/>
          <w:lang w:val="en-US"/>
        </w:rPr>
      </w:pPr>
    </w:p>
    <w:p w:rsidR="00701E96" w:rsidRPr="009613CB" w:rsidRDefault="00701E96" w:rsidP="009613CB">
      <w:pPr>
        <w:pStyle w:val="BodyDHS"/>
        <w:numPr>
          <w:ilvl w:val="12"/>
          <w:numId w:val="0"/>
        </w:numPr>
        <w:spacing w:after="0"/>
        <w:jc w:val="center"/>
        <w:rPr>
          <w:rFonts w:asciiTheme="minorHAnsi" w:hAnsiTheme="minorHAnsi" w:cs="Arial"/>
          <w:b/>
          <w:i/>
          <w:sz w:val="22"/>
          <w:szCs w:val="22"/>
        </w:rPr>
      </w:pPr>
    </w:p>
    <w:sectPr w:rsidR="00701E96" w:rsidRPr="009613CB" w:rsidSect="007C7B7C">
      <w:headerReference w:type="even" r:id="rId11"/>
      <w:headerReference w:type="default" r:id="rId12"/>
      <w:footerReference w:type="even" r:id="rId13"/>
      <w:footerReference w:type="default" r:id="rId14"/>
      <w:headerReference w:type="first" r:id="rId15"/>
      <w:footerReference w:type="first" r:id="rId16"/>
      <w:pgSz w:w="11906" w:h="16838"/>
      <w:pgMar w:top="9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B6B" w:rsidRDefault="00B36B6B" w:rsidP="0085550D">
      <w:pPr>
        <w:spacing w:after="0" w:line="240" w:lineRule="auto"/>
      </w:pPr>
      <w:r>
        <w:separator/>
      </w:r>
    </w:p>
  </w:endnote>
  <w:endnote w:type="continuationSeparator" w:id="0">
    <w:p w:rsidR="00B36B6B" w:rsidRDefault="00B36B6B" w:rsidP="0085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408" w:rsidRDefault="001D2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AFD" w:rsidRDefault="009613CB" w:rsidP="00432823">
    <w:pPr>
      <w:pStyle w:val="Footer"/>
    </w:pPr>
    <w:r>
      <w:t xml:space="preserve">Version </w:t>
    </w:r>
    <w:r w:rsidR="002D7A55">
      <w:t>8</w:t>
    </w:r>
    <w:r w:rsidR="00B17AFD">
      <w:t>,</w:t>
    </w:r>
    <w:r w:rsidR="00B63C24">
      <w:t xml:space="preserve"> </w:t>
    </w:r>
    <w:r w:rsidR="002D7A55">
      <w:t>19-Dec-2019</w:t>
    </w:r>
    <w:r w:rsidR="00B17AFD">
      <w:tab/>
    </w:r>
    <w:sdt>
      <w:sdtPr>
        <w:id w:val="24578083"/>
        <w:docPartObj>
          <w:docPartGallery w:val="Page Numbers (Bottom of Page)"/>
          <w:docPartUnique/>
        </w:docPartObj>
      </w:sdtPr>
      <w:sdtEndPr/>
      <w:sdtContent>
        <w:r w:rsidR="007F3505">
          <w:fldChar w:fldCharType="begin"/>
        </w:r>
        <w:r w:rsidR="007F3505">
          <w:instrText xml:space="preserve"> PAGE   \* MERGEFORMAT </w:instrText>
        </w:r>
        <w:r w:rsidR="007F3505">
          <w:fldChar w:fldCharType="separate"/>
        </w:r>
        <w:r w:rsidR="002F4C96">
          <w:rPr>
            <w:noProof/>
          </w:rPr>
          <w:t>3</w:t>
        </w:r>
        <w:r w:rsidR="007F3505">
          <w:rPr>
            <w:noProof/>
          </w:rPr>
          <w:fldChar w:fldCharType="end"/>
        </w:r>
      </w:sdtContent>
    </w:sdt>
  </w:p>
  <w:p w:rsidR="00B17AFD" w:rsidRDefault="00B17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408" w:rsidRDefault="001D2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B6B" w:rsidRDefault="00B36B6B" w:rsidP="0085550D">
      <w:pPr>
        <w:spacing w:after="0" w:line="240" w:lineRule="auto"/>
      </w:pPr>
      <w:r>
        <w:separator/>
      </w:r>
    </w:p>
  </w:footnote>
  <w:footnote w:type="continuationSeparator" w:id="0">
    <w:p w:rsidR="00B36B6B" w:rsidRDefault="00B36B6B" w:rsidP="00855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408" w:rsidRDefault="001D2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408" w:rsidRDefault="001D2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408" w:rsidRDefault="001D2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66A"/>
    <w:multiLevelType w:val="hybridMultilevel"/>
    <w:tmpl w:val="28AA82E8"/>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65CDB"/>
    <w:multiLevelType w:val="hybridMultilevel"/>
    <w:tmpl w:val="D5F0D414"/>
    <w:lvl w:ilvl="0" w:tplc="B7B896CA">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B0752E"/>
    <w:multiLevelType w:val="hybridMultilevel"/>
    <w:tmpl w:val="AE488A5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F03FB5"/>
    <w:multiLevelType w:val="hybridMultilevel"/>
    <w:tmpl w:val="7F902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F62B71"/>
    <w:multiLevelType w:val="hybridMultilevel"/>
    <w:tmpl w:val="DBE0A04C"/>
    <w:lvl w:ilvl="0" w:tplc="411E65D4">
      <w:start w:val="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732E73"/>
    <w:multiLevelType w:val="hybridMultilevel"/>
    <w:tmpl w:val="92B6D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0D1268"/>
    <w:multiLevelType w:val="hybridMultilevel"/>
    <w:tmpl w:val="92B6D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B0014B"/>
    <w:multiLevelType w:val="hybridMultilevel"/>
    <w:tmpl w:val="92B6D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6F6247"/>
    <w:multiLevelType w:val="hybridMultilevel"/>
    <w:tmpl w:val="0B200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D35A5B"/>
    <w:multiLevelType w:val="hybridMultilevel"/>
    <w:tmpl w:val="7FF2E026"/>
    <w:lvl w:ilvl="0" w:tplc="00D65760">
      <w:start w:val="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730603"/>
    <w:multiLevelType w:val="hybridMultilevel"/>
    <w:tmpl w:val="92B6D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9F551F"/>
    <w:multiLevelType w:val="hybridMultilevel"/>
    <w:tmpl w:val="9F88B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777E44"/>
    <w:multiLevelType w:val="hybridMultilevel"/>
    <w:tmpl w:val="85D49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B337A9"/>
    <w:multiLevelType w:val="hybridMultilevel"/>
    <w:tmpl w:val="37F05690"/>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4" w15:restartNumberingAfterBreak="0">
    <w:nsid w:val="53B47822"/>
    <w:multiLevelType w:val="hybridMultilevel"/>
    <w:tmpl w:val="3A229A48"/>
    <w:lvl w:ilvl="0" w:tplc="331E689A">
      <w:start w:val="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F45319"/>
    <w:multiLevelType w:val="hybridMultilevel"/>
    <w:tmpl w:val="92B6D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F44A4D"/>
    <w:multiLevelType w:val="hybridMultilevel"/>
    <w:tmpl w:val="645817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7E13A03"/>
    <w:multiLevelType w:val="hybridMultilevel"/>
    <w:tmpl w:val="92B6D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9"/>
  </w:num>
  <w:num w:numId="4">
    <w:abstractNumId w:val="15"/>
  </w:num>
  <w:num w:numId="5">
    <w:abstractNumId w:val="10"/>
  </w:num>
  <w:num w:numId="6">
    <w:abstractNumId w:val="6"/>
  </w:num>
  <w:num w:numId="7">
    <w:abstractNumId w:val="16"/>
  </w:num>
  <w:num w:numId="8">
    <w:abstractNumId w:val="5"/>
  </w:num>
  <w:num w:numId="9">
    <w:abstractNumId w:val="17"/>
  </w:num>
  <w:num w:numId="10">
    <w:abstractNumId w:val="3"/>
  </w:num>
  <w:num w:numId="11">
    <w:abstractNumId w:val="8"/>
  </w:num>
  <w:num w:numId="12">
    <w:abstractNumId w:val="7"/>
  </w:num>
  <w:num w:numId="13">
    <w:abstractNumId w:val="13"/>
  </w:num>
  <w:num w:numId="14">
    <w:abstractNumId w:val="12"/>
  </w:num>
  <w:num w:numId="15">
    <w:abstractNumId w:val="1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09"/>
    <w:rsid w:val="00013A8C"/>
    <w:rsid w:val="00034D29"/>
    <w:rsid w:val="000426CB"/>
    <w:rsid w:val="000717C7"/>
    <w:rsid w:val="00096809"/>
    <w:rsid w:val="000A04D7"/>
    <w:rsid w:val="000B7537"/>
    <w:rsid w:val="000C3839"/>
    <w:rsid w:val="000E1A9E"/>
    <w:rsid w:val="00111AF7"/>
    <w:rsid w:val="00120D7C"/>
    <w:rsid w:val="001227DC"/>
    <w:rsid w:val="00122F4A"/>
    <w:rsid w:val="00133005"/>
    <w:rsid w:val="001365C3"/>
    <w:rsid w:val="00152543"/>
    <w:rsid w:val="00174594"/>
    <w:rsid w:val="001843C8"/>
    <w:rsid w:val="001874F9"/>
    <w:rsid w:val="00192779"/>
    <w:rsid w:val="001D2408"/>
    <w:rsid w:val="00201648"/>
    <w:rsid w:val="00203148"/>
    <w:rsid w:val="00216118"/>
    <w:rsid w:val="0021647C"/>
    <w:rsid w:val="00246239"/>
    <w:rsid w:val="0026311E"/>
    <w:rsid w:val="00263925"/>
    <w:rsid w:val="00264E27"/>
    <w:rsid w:val="00275921"/>
    <w:rsid w:val="00277834"/>
    <w:rsid w:val="002D7A55"/>
    <w:rsid w:val="002E6917"/>
    <w:rsid w:val="002F4C96"/>
    <w:rsid w:val="002F5038"/>
    <w:rsid w:val="0030169D"/>
    <w:rsid w:val="00302937"/>
    <w:rsid w:val="003029F2"/>
    <w:rsid w:val="00313D2A"/>
    <w:rsid w:val="00317363"/>
    <w:rsid w:val="00323B45"/>
    <w:rsid w:val="00330F32"/>
    <w:rsid w:val="003752EF"/>
    <w:rsid w:val="00377BE1"/>
    <w:rsid w:val="00392C08"/>
    <w:rsid w:val="00394BB6"/>
    <w:rsid w:val="003C4058"/>
    <w:rsid w:val="003D0326"/>
    <w:rsid w:val="004160E5"/>
    <w:rsid w:val="004163DA"/>
    <w:rsid w:val="00425C7C"/>
    <w:rsid w:val="00432823"/>
    <w:rsid w:val="004827CF"/>
    <w:rsid w:val="0048631D"/>
    <w:rsid w:val="00486D0D"/>
    <w:rsid w:val="00486D2D"/>
    <w:rsid w:val="004A3FAE"/>
    <w:rsid w:val="004B3185"/>
    <w:rsid w:val="004F0178"/>
    <w:rsid w:val="0050000F"/>
    <w:rsid w:val="005223AC"/>
    <w:rsid w:val="00524636"/>
    <w:rsid w:val="005246EE"/>
    <w:rsid w:val="00524844"/>
    <w:rsid w:val="00556356"/>
    <w:rsid w:val="00560595"/>
    <w:rsid w:val="005662F1"/>
    <w:rsid w:val="00572561"/>
    <w:rsid w:val="00574BAB"/>
    <w:rsid w:val="00577205"/>
    <w:rsid w:val="005B5D74"/>
    <w:rsid w:val="005B7063"/>
    <w:rsid w:val="00601BEA"/>
    <w:rsid w:val="00604547"/>
    <w:rsid w:val="00605E02"/>
    <w:rsid w:val="00615CEB"/>
    <w:rsid w:val="00616A67"/>
    <w:rsid w:val="00631F4E"/>
    <w:rsid w:val="0066671D"/>
    <w:rsid w:val="00671BA0"/>
    <w:rsid w:val="0068549E"/>
    <w:rsid w:val="00695819"/>
    <w:rsid w:val="006B1826"/>
    <w:rsid w:val="006B4BDE"/>
    <w:rsid w:val="006C35D5"/>
    <w:rsid w:val="006D1FE9"/>
    <w:rsid w:val="006D5A02"/>
    <w:rsid w:val="006E3D61"/>
    <w:rsid w:val="0070076A"/>
    <w:rsid w:val="00701E96"/>
    <w:rsid w:val="00703C9A"/>
    <w:rsid w:val="00704DE6"/>
    <w:rsid w:val="00706FA5"/>
    <w:rsid w:val="00710C9E"/>
    <w:rsid w:val="00723E84"/>
    <w:rsid w:val="007261BB"/>
    <w:rsid w:val="0073531A"/>
    <w:rsid w:val="00737A70"/>
    <w:rsid w:val="00755906"/>
    <w:rsid w:val="0077094F"/>
    <w:rsid w:val="0078160F"/>
    <w:rsid w:val="007856C4"/>
    <w:rsid w:val="007A71B0"/>
    <w:rsid w:val="007C7B7C"/>
    <w:rsid w:val="007E6FA3"/>
    <w:rsid w:val="007F0743"/>
    <w:rsid w:val="007F3505"/>
    <w:rsid w:val="00802E96"/>
    <w:rsid w:val="00806131"/>
    <w:rsid w:val="00813837"/>
    <w:rsid w:val="00834217"/>
    <w:rsid w:val="00835F29"/>
    <w:rsid w:val="00844C8F"/>
    <w:rsid w:val="0085550D"/>
    <w:rsid w:val="00866421"/>
    <w:rsid w:val="00871076"/>
    <w:rsid w:val="0087396D"/>
    <w:rsid w:val="008A02DB"/>
    <w:rsid w:val="008C0112"/>
    <w:rsid w:val="008E678D"/>
    <w:rsid w:val="008E74F3"/>
    <w:rsid w:val="00901906"/>
    <w:rsid w:val="00904AF6"/>
    <w:rsid w:val="00917EF1"/>
    <w:rsid w:val="00923803"/>
    <w:rsid w:val="0092514A"/>
    <w:rsid w:val="00952AF7"/>
    <w:rsid w:val="00956EB1"/>
    <w:rsid w:val="009613CB"/>
    <w:rsid w:val="00962B3F"/>
    <w:rsid w:val="00976D99"/>
    <w:rsid w:val="00986B1B"/>
    <w:rsid w:val="009915C5"/>
    <w:rsid w:val="009A2834"/>
    <w:rsid w:val="009B3356"/>
    <w:rsid w:val="009D178F"/>
    <w:rsid w:val="009D27CF"/>
    <w:rsid w:val="009E6DBD"/>
    <w:rsid w:val="009F3799"/>
    <w:rsid w:val="00A1215B"/>
    <w:rsid w:val="00A3143A"/>
    <w:rsid w:val="00A32823"/>
    <w:rsid w:val="00A37D47"/>
    <w:rsid w:val="00A800DA"/>
    <w:rsid w:val="00A86A68"/>
    <w:rsid w:val="00A93989"/>
    <w:rsid w:val="00AC7102"/>
    <w:rsid w:val="00AD7656"/>
    <w:rsid w:val="00AF2689"/>
    <w:rsid w:val="00B17AFD"/>
    <w:rsid w:val="00B24503"/>
    <w:rsid w:val="00B36B6B"/>
    <w:rsid w:val="00B51CEF"/>
    <w:rsid w:val="00B564A6"/>
    <w:rsid w:val="00B63C24"/>
    <w:rsid w:val="00B764C2"/>
    <w:rsid w:val="00B865AD"/>
    <w:rsid w:val="00B93F34"/>
    <w:rsid w:val="00BD3534"/>
    <w:rsid w:val="00BE4798"/>
    <w:rsid w:val="00BF7E8A"/>
    <w:rsid w:val="00C143F6"/>
    <w:rsid w:val="00C23179"/>
    <w:rsid w:val="00C278C2"/>
    <w:rsid w:val="00C34747"/>
    <w:rsid w:val="00C40FF9"/>
    <w:rsid w:val="00C81C6D"/>
    <w:rsid w:val="00C92BE2"/>
    <w:rsid w:val="00CA3B33"/>
    <w:rsid w:val="00CA5C64"/>
    <w:rsid w:val="00CB4D47"/>
    <w:rsid w:val="00CC014D"/>
    <w:rsid w:val="00CC4932"/>
    <w:rsid w:val="00CD5263"/>
    <w:rsid w:val="00CE47D7"/>
    <w:rsid w:val="00CE610A"/>
    <w:rsid w:val="00CF5618"/>
    <w:rsid w:val="00D010CF"/>
    <w:rsid w:val="00D31F13"/>
    <w:rsid w:val="00D472CD"/>
    <w:rsid w:val="00D76624"/>
    <w:rsid w:val="00DA1C3E"/>
    <w:rsid w:val="00DB1B9F"/>
    <w:rsid w:val="00DE22EE"/>
    <w:rsid w:val="00E10398"/>
    <w:rsid w:val="00E137EC"/>
    <w:rsid w:val="00E23E02"/>
    <w:rsid w:val="00E47DD8"/>
    <w:rsid w:val="00E61B0B"/>
    <w:rsid w:val="00E9064D"/>
    <w:rsid w:val="00E94B7A"/>
    <w:rsid w:val="00EA08F3"/>
    <w:rsid w:val="00EB6110"/>
    <w:rsid w:val="00EC4AF1"/>
    <w:rsid w:val="00F40312"/>
    <w:rsid w:val="00F40A0B"/>
    <w:rsid w:val="00F42A22"/>
    <w:rsid w:val="00F44B65"/>
    <w:rsid w:val="00F47A8D"/>
    <w:rsid w:val="00F6563F"/>
    <w:rsid w:val="00F74DCD"/>
    <w:rsid w:val="00FA031C"/>
    <w:rsid w:val="00FA3725"/>
    <w:rsid w:val="00FD0816"/>
    <w:rsid w:val="00FE7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49DA"/>
  <w15:docId w15:val="{0848BB2D-F4B0-4182-A35E-8DA55764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8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B5D74"/>
    <w:pPr>
      <w:ind w:left="720"/>
      <w:contextualSpacing/>
    </w:pPr>
  </w:style>
  <w:style w:type="character" w:styleId="CommentReference">
    <w:name w:val="annotation reference"/>
    <w:basedOn w:val="DefaultParagraphFont"/>
    <w:uiPriority w:val="99"/>
    <w:semiHidden/>
    <w:unhideWhenUsed/>
    <w:rsid w:val="000E1A9E"/>
    <w:rPr>
      <w:sz w:val="16"/>
      <w:szCs w:val="16"/>
    </w:rPr>
  </w:style>
  <w:style w:type="paragraph" w:styleId="CommentText">
    <w:name w:val="annotation text"/>
    <w:basedOn w:val="Normal"/>
    <w:link w:val="CommentTextChar"/>
    <w:uiPriority w:val="99"/>
    <w:semiHidden/>
    <w:unhideWhenUsed/>
    <w:rsid w:val="000E1A9E"/>
    <w:pPr>
      <w:spacing w:line="240" w:lineRule="auto"/>
    </w:pPr>
    <w:rPr>
      <w:sz w:val="20"/>
      <w:szCs w:val="20"/>
    </w:rPr>
  </w:style>
  <w:style w:type="character" w:customStyle="1" w:styleId="CommentTextChar">
    <w:name w:val="Comment Text Char"/>
    <w:basedOn w:val="DefaultParagraphFont"/>
    <w:link w:val="CommentText"/>
    <w:uiPriority w:val="99"/>
    <w:semiHidden/>
    <w:rsid w:val="000E1A9E"/>
    <w:rPr>
      <w:sz w:val="20"/>
      <w:szCs w:val="20"/>
    </w:rPr>
  </w:style>
  <w:style w:type="paragraph" w:styleId="CommentSubject">
    <w:name w:val="annotation subject"/>
    <w:basedOn w:val="CommentText"/>
    <w:next w:val="CommentText"/>
    <w:link w:val="CommentSubjectChar"/>
    <w:uiPriority w:val="99"/>
    <w:semiHidden/>
    <w:unhideWhenUsed/>
    <w:rsid w:val="000E1A9E"/>
    <w:rPr>
      <w:b/>
      <w:bCs/>
    </w:rPr>
  </w:style>
  <w:style w:type="character" w:customStyle="1" w:styleId="CommentSubjectChar">
    <w:name w:val="Comment Subject Char"/>
    <w:basedOn w:val="CommentTextChar"/>
    <w:link w:val="CommentSubject"/>
    <w:uiPriority w:val="99"/>
    <w:semiHidden/>
    <w:rsid w:val="000E1A9E"/>
    <w:rPr>
      <w:b/>
      <w:bCs/>
      <w:sz w:val="20"/>
      <w:szCs w:val="20"/>
    </w:rPr>
  </w:style>
  <w:style w:type="paragraph" w:styleId="BalloonText">
    <w:name w:val="Balloon Text"/>
    <w:basedOn w:val="Normal"/>
    <w:link w:val="BalloonTextChar"/>
    <w:uiPriority w:val="99"/>
    <w:semiHidden/>
    <w:unhideWhenUsed/>
    <w:rsid w:val="000E1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A9E"/>
    <w:rPr>
      <w:rFonts w:ascii="Tahoma" w:hAnsi="Tahoma" w:cs="Tahoma"/>
      <w:sz w:val="16"/>
      <w:szCs w:val="16"/>
    </w:rPr>
  </w:style>
  <w:style w:type="paragraph" w:styleId="NormalWeb">
    <w:name w:val="Normal (Web)"/>
    <w:basedOn w:val="Normal"/>
    <w:uiPriority w:val="99"/>
    <w:unhideWhenUsed/>
    <w:rsid w:val="00574BAB"/>
    <w:pPr>
      <w:spacing w:before="100" w:beforeAutospacing="1" w:after="100" w:afterAutospacing="1" w:line="240" w:lineRule="auto"/>
    </w:pPr>
    <w:rPr>
      <w:rFonts w:ascii="Times New Roman" w:eastAsia="Times New Roman" w:hAnsi="Times New Roman" w:cs="Times New Roman"/>
      <w:color w:val="003366"/>
      <w:sz w:val="24"/>
      <w:szCs w:val="24"/>
    </w:rPr>
  </w:style>
  <w:style w:type="paragraph" w:styleId="Header">
    <w:name w:val="header"/>
    <w:basedOn w:val="Normal"/>
    <w:link w:val="HeaderChar"/>
    <w:uiPriority w:val="99"/>
    <w:unhideWhenUsed/>
    <w:rsid w:val="00855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50D"/>
  </w:style>
  <w:style w:type="paragraph" w:styleId="Footer">
    <w:name w:val="footer"/>
    <w:basedOn w:val="Normal"/>
    <w:link w:val="FooterChar"/>
    <w:uiPriority w:val="99"/>
    <w:unhideWhenUsed/>
    <w:rsid w:val="00855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50D"/>
  </w:style>
  <w:style w:type="paragraph" w:customStyle="1" w:styleId="BodyDHS">
    <w:name w:val="Body DHS"/>
    <w:rsid w:val="001843C8"/>
    <w:pPr>
      <w:suppressAutoHyphens/>
      <w:spacing w:after="180" w:line="260" w:lineRule="exact"/>
    </w:pPr>
    <w:rPr>
      <w:rFonts w:ascii="Book Antiqua" w:eastAsia="Times New Roman" w:hAnsi="Book Antiqua" w:cs="Times New Roman"/>
      <w:sz w:val="21"/>
      <w:szCs w:val="20"/>
    </w:rPr>
  </w:style>
  <w:style w:type="character" w:styleId="Hyperlink">
    <w:name w:val="Hyperlink"/>
    <w:basedOn w:val="DefaultParagraphFont"/>
    <w:uiPriority w:val="99"/>
    <w:unhideWhenUsed/>
    <w:rsid w:val="00034D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ra.nhs.uk/approvals-amendments/amending-approval/examples-of-substantial-and-non-substantial-amendme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search@alfred.org.au" TargetMode="External"/><Relationship Id="rId4" Type="http://schemas.openxmlformats.org/officeDocument/2006/relationships/settings" Target="settings.xml"/><Relationship Id="rId9" Type="http://schemas.openxmlformats.org/officeDocument/2006/relationships/hyperlink" Target="mailto:research@alfred.org.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E3F8-D34E-4048-8144-D1BDD02F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BaysideHealth</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HenjakA</dc:creator>
  <cp:lastModifiedBy>Rosenow, Nicole</cp:lastModifiedBy>
  <cp:revision>2</cp:revision>
  <cp:lastPrinted>2013-07-23T03:48:00Z</cp:lastPrinted>
  <dcterms:created xsi:type="dcterms:W3CDTF">2022-06-06T05:50:00Z</dcterms:created>
  <dcterms:modified xsi:type="dcterms:W3CDTF">2022-06-06T05:50:00Z</dcterms:modified>
</cp:coreProperties>
</file>